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OBRAZLOŽENJE UZ PRORAČUN OPĆINE POSEDARJE ZA RAZDOBLJE 2024.-2026.GODINE</w:t>
      </w: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39.Zakona o proračunu (NN 144/21) predstavničko tijelo jedinice lokalne i područne (regionalne) samouprave obvezno je do kraja tekuće godine donijeti proračun za iduću, kao i projekciju proračuna za sljedeće dvije proračunske godine. Metodologija izrade proračuna propisana je Zakonom o proračunu (NN 144/21) i podzakonskim aktima kojima se regulira provedba Zakona - Pravilnikom o proračunskim klasifikacijama (NN 26/10, 120/13, 1/2020) i novim Pravilnikom o proračunskom računovodstvu i računskom planu (NN 114/10, 31/11, 124/14, 87/16, 108/2020) koji se primjenjuju od 2017.godine. Metodologija izrade proračuna nije se mijenjala. Smjernicama ekonomske i fiskalne politike Vlada Republike Hrvatske daju se parametri Ministarstvu financija za izradu Upute za izradu državnog proračuna i Uputa za izradu proračuna jedinica lokalne i područne (regionalne) samouprave Proračun Općine Posedarje za 2024.godinu temelji se na ranije usvojenoj projekciji uz određena odstupanja u odnosu na projekciju uvjetovana je izmjenama zakonskih okvira, posebno izmjenama poreznih propisa te općinskih odluka, kao i dinamikom realizacije planiranih aktivnosti i projekata. Temeljem navedenog, proračun za 2024.godinu donosi se na razini podskupine računa (treća razina računskog plana), dok se projekcija za 2025. i 2026. godinu donosi na razini skupine (druga razina računskog plana). Ova, zakonom propisana, manje detaljna razina prikazivanja planskih podataka opravdava se većom mogućom fleksibilnosti u izvršavanju proračuna. Naglasak se stavlja na planiranje po programima (a unutar njih po aktivnostima i projektima) a ne na vrstu i visinu pojedinačnog troška u okviru nekog programa (planiranog na nekom nižem nivou). U pisanom obrazloženju koje prati proračun važno je utvrditi i istaknuti zakonsku podlogu te ciljeve i željene rezultate svakog pojedinačnog programa. 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od: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Općeg dijela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Posebnog dijela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Plana razvojnih programa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proračuna sastoji se od rashoda i izdataka raspoređenih po programima (aktivnostima i projektima) unutar razdjela/glava definiranih u skladu s organizacijskom klasifikacijom Proračuna. Stoga su sve aktivnosti i projekti raspoređeni u odnosu na program i funkciju. Plan razvojnih programa sadrži ciljeve i prioritete razvoja Općine Posedarje s programskom i organizacijskom klasifikacijom proračuna. Proračun Općine Posedarje za 2024.godinu je konsolidiran, što znači da su svi prihodi i rashodi proračunskim korisnika Dječjeg vrtića CVRČAK planirani u proračunu sukladno ekonomskoj, programskoj, funkcijskoj, organizacijskoj i lokacijskoj klasifikaciji te izvorima financiranja.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razvojnih programa predstavlja strateško-planski dokument jedinice lokalne samouprave, te stvara dobru pretpostavku za povezivanje svih strateških dokumenata s proračunskim planiranjem.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 DIO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proračuna čini Račun prihoda i rashoda i Račun financiranja. U računu prihoda i rashoda podaci proračuna navedeni su po ekonomskoj klasifikaciji (računima računskog plana proračuna), a čine ih prihodi poslovanja / skupina konta 6 / i prihodi od prodaje nefinancijske imovine / skupina konta 7 / te rashodi poslovanja / skupina konta 3 / i rashodi za nabavu nefinancijske imovine / skupina konta 4 /. Iznosi prihoda i primitaka proračuna Općine Posedarje za naredno trogodišnje razdoblje planirani su temeljem ostvarenja za prethodnu godinu i Uputama za izradu proračuna jedinice lokalne i područne (regionalne) samouprave za razdoblje 2024. - 2026.godine RH kojima su utvrđene odrednice prihoda i rashoda lokalnih jedinica.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Ukupni prihodi i primici proračuna Općine Posedarje za 2024.godinu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10.571.611,00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. Dok je porezne prihode i vlastite prihode Općine za naredne dvije godine moguće predvidjeti s više ili manje odstupanja, prihode skupine 63 vrlo je teško planirati, budući da za isto ne postoje dugoročne naznake. Informacije o mogućim prihodima iz ovih izvora, obično su izvjesne tek u jednogodišnjem periodu. Obzirom na obvezu uravnoteženosti proračuna, pripadajući rashodi i izdaci planiraju se na razini očekivanih prihoda i primitaka. Rashodi se u općem dijelu proračuna navode zbirno (za sve proračunske korisnike i upravni odjel), a detaljno su razrađeni u posebnom dijelu proračuna. U računu financiranja navode se (također po ekonomskoj klasifikaciji) planirani izdaci za financijsku imovinu i otplatu kredita i zajmova / skupina konta 5/. U proračunu Općine Posedarje za 2024. - 2026.godinu planirani su izdaci skupine 5. 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highlight w:val="none"/>
        </w:rPr>
        <w:t>PRIHODI I PRIMICI PRORAČUNA U 2024.GODINI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Ukupni Prihodi i primici Proračuna za 2024.godinu predlažu se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10.571.611,00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>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auto"/>
          <w:highlight w:val="none"/>
          <w:u w:val="single"/>
        </w:rPr>
        <w:t>PRIHODI OD POREZA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Najvažniji prihodi jedinica lokalne i područne (regionalne) samouprave jesu prihodi od poreza na dohodak. Svaka jedinica lokalne i područne (regionalne) samouprave izrađuje plan prihoda uzimajući u obzir vlastite gospodarske i društvene specifičnosti te pridržavajući se Zakona o proračunu i Zakona o fiskalnoj odgovornosti. Planirani prihodi 61 sadrže prihode od poreza i prireza na dohodak i prihode od općinskih poreza (porez na potrošnju, porez na kuće za odmor, porez na potrošnju alkoholnih i bezalkoholnih pića), te prihode od poreza na promet nekretnina. Prihodi od poreza 61 planiraju se u iznosu od 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>1.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869.900,00 EUR.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auto"/>
          <w:highlight w:val="none"/>
          <w:u w:val="single"/>
        </w:rPr>
        <w:t>POMOĆI IZ INOZEMSTVA I OD SUBJEKATA UNUTAR OPĆEG PRORAČUNA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U okviru planiranih prihoda skupine 63 iznos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2.792.625,00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 očekuje se od pomoći proračunu iz drugih proračuna, pomoći od izvanproračunskih korisnika te pomoći od državnog proračuna temeljem prijenosa EU sredstava. 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auto"/>
          <w:highlight w:val="none"/>
          <w:u w:val="single"/>
        </w:rPr>
        <w:t>PRIHODI OD IMOVINE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Temeljem svoje imovine (skupine 64) Općina Posedarje planira tijekom 2024.godine ostvariti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67.877,00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 prihoda i to s osnova iznajmljivanja imovine (poslovni prostori, javno-prometne površine), naknada za koncesije i sl.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color w:val="auto"/>
          <w:highlight w:val="none"/>
          <w:u w:val="single"/>
        </w:rPr>
        <w:t>PRIHODI OD UPRAVNIH I ADMINISTRATIVNIH PRISTOJBI, PRISTOJBI PO POSEBNIM PROPISIMA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Skupina 65 obuhvaća prihode prihode od upravnih pristojbi te prihode po posebnim propisima kao što su komunalna naknada, komunalni doprinos, te ostale prihode. U okviru ovih prihoda planirani su prihodi od upravnih i administrativnih. U okviru ove skupine najveći dio imaju prihodi po posebnim propisima koji se odnose na prihode od komunalnih doprinosa i komunalnih naknada.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957.256,00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/>
          <w:bCs/>
          <w:color w:val="auto"/>
          <w:highlight w:val="none"/>
          <w:u w:val="single"/>
          <w:lang w:val="hr-HR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u w:val="single"/>
          <w:lang w:val="hr-HR"/>
        </w:rPr>
        <w:t>PRIHODI OD PRODAJE PROIZVODA I ROBE TE PRUŽENIH USLUGA I PRIHODI OD DONACIJA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color w:val="auto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color w:val="auto"/>
          <w:highlight w:val="none"/>
          <w:u w:val="none"/>
          <w:lang w:val="hr-HR"/>
        </w:rPr>
        <w:t xml:space="preserve">Skupina 66 obuhvaća prihode od prodaje proizvoda i robe te pruženih usluga i prihodi od donacija.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u w:val="none"/>
          <w:lang w:val="hr-HR"/>
        </w:rPr>
        <w:t>28.506,00 EUR</w:t>
      </w:r>
      <w:r>
        <w:rPr>
          <w:rFonts w:hint="default" w:ascii="Times New Roman" w:hAnsi="Times New Roman" w:cs="Times New Roman"/>
          <w:color w:val="auto"/>
          <w:highlight w:val="none"/>
          <w:u w:val="none"/>
          <w:lang w:val="hr-HR"/>
        </w:rPr>
        <w:t>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/>
          <w:bCs/>
          <w:color w:val="auto"/>
          <w:highlight w:val="none"/>
          <w:u w:val="single"/>
          <w:lang w:val="hr-HR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u w:val="single"/>
          <w:lang w:val="hr-HR"/>
        </w:rPr>
        <w:t>KAZNE, UPRAVNE MJERE I OSTALI PRIHODI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 xml:space="preserve">Skupina 68 obuhvaća prihode od kazne, upravnih mjera i ostali prihodi.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83.000,00 EUR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>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/>
          <w:bCs/>
          <w:color w:val="auto"/>
          <w:highlight w:val="none"/>
          <w:u w:val="single"/>
          <w:lang w:val="hr-HR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  <w:u w:val="single"/>
          <w:lang w:val="hr-HR"/>
        </w:rPr>
        <w:t>PRODAJA NEFINANCIJSKE IMOVINE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  <w:lang w:val="hr-HR"/>
        </w:rPr>
        <w:t xml:space="preserve">Skupina 7 obuhvaća prodaju nefinancijske imovine koja je u vlasništvu Općine Posedarje. Planirani su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u w:val="none"/>
          <w:lang w:val="hr-HR"/>
        </w:rPr>
        <w:t>4.718.734,00 EUR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u w:val="none"/>
          <w:lang w:val="hr-HR"/>
        </w:rPr>
        <w:t>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highlight w:val="none"/>
        </w:rPr>
        <w:t>RASHODI I IZDACI PRORAČUNA U 2024.GODINI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ascii="Times New Roman" w:hAnsi="Times New Roman" w:cs="Times New Roman"/>
          <w:color w:val="auto"/>
          <w:highlight w:val="none"/>
        </w:rPr>
        <w:t>Ukupni rashodi i izdaci proračuna predlažu se u iz</w:t>
      </w:r>
      <w:bookmarkStart w:id="0" w:name="_GoBack"/>
      <w:bookmarkEnd w:id="0"/>
      <w:r>
        <w:rPr>
          <w:rFonts w:ascii="Times New Roman" w:hAnsi="Times New Roman" w:cs="Times New Roman"/>
          <w:color w:val="auto"/>
          <w:highlight w:val="none"/>
        </w:rPr>
        <w:t xml:space="preserve">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10.571.611,00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auto"/>
          <w:highlight w:val="none"/>
        </w:rPr>
        <w:t xml:space="preserve">, što uključuje rashode poslovanja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4.356.213,00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,</w:t>
      </w:r>
      <w:r>
        <w:rPr>
          <w:rFonts w:ascii="Times New Roman" w:hAnsi="Times New Roman" w:cs="Times New Roman"/>
          <w:color w:val="auto"/>
          <w:highlight w:val="none"/>
        </w:rPr>
        <w:t xml:space="preserve"> rashode za nabavu nefinancijske imovine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6.209.098,00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hr-HR"/>
        </w:rPr>
        <w:t>izdaci za financijsku imovinu i otplate zajmova u iznosu od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 xml:space="preserve"> 6.300,00 EUR.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U planiranim rashodima proračuna obuhvaćeni su i rashodi proračunskim korisnika, sukladno ekonomskoj, programskoj, funkcijskoj i lokacijskoj klasifikaciji te izvorima financiranja.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highlight w:val="none"/>
        </w:rPr>
        <w:t>POSEBNI DIO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U posebnom dijelu proračuna planski podaci rashoda i izdataka raspoređeni su na način da se poštuju sve zakonom propisane klasifikacije: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* Organizacijska (podaci su razvrstani po razdjelima i glavama )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* Ekonomska (prilikom planiranja koriste se računi računskog plana)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* Funkcijska (svakom je programu dodijeljena šifra - četveroznamenkasti broj funkcije koja se izvršava kroz određene programe)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* Programska (unutar razdjela i glava proračuna osnovne planske cjeline su programi, koji se izvršavaju kroz različite aktivnosti)</w:t>
      </w:r>
    </w:p>
    <w:p>
      <w:pPr>
        <w:pStyle w:val="9"/>
        <w:ind w:left="0"/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* Izvori financiranja (prihodi i primici grupirani su u skupine iz kojih se podmiruju rashodi i izdaci određene vrste i namjene; navedeno se provodi zbog praćenja namjenskog trošenja proračunskog novca)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cyan"/>
          <w:u w:val="single"/>
          <w:lang w:val="hr-HR"/>
        </w:rPr>
        <w:t>Program 1001: Rad Općinskog vijeća</w:t>
      </w:r>
      <w:r>
        <w:rPr>
          <w:rFonts w:hint="default" w:ascii="Times New Roman" w:hAnsi="Times New Roman" w:cs="Times New Roman"/>
          <w:lang w:val="hr-HR"/>
        </w:rPr>
        <w:t xml:space="preserve"> je planiran u iznosu od 61.095,00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lang w:val="hr-HR"/>
        </w:rPr>
        <w:t>Ovaj Program obuhvaća aktivnosti kojim se osigurava nesmetano funkcioniranje Općinskog vijeća, ohuhvaća obilježavanje proslave dana Općine Posedarje i obuhvaća programe malih komunalnih akcija.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u w:val="single"/>
          <w:lang w:val="hr-HR"/>
        </w:rPr>
        <w:t xml:space="preserve">Osnovni cilj programa </w:t>
      </w:r>
      <w:r>
        <w:rPr>
          <w:rFonts w:hint="default" w:ascii="Times New Roman" w:hAnsi="Times New Roman" w:cs="Times New Roman"/>
          <w:lang w:val="hr-HR"/>
        </w:rPr>
        <w:t>je unaprijediti kvalitetu života na području Općine Posedarje.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A100101 - NAKNADE ZA ČLANOVE VIJEĆA</w:t>
      </w:r>
      <w:r>
        <w:rPr>
          <w:rFonts w:hint="default" w:ascii="Times New Roman" w:hAnsi="Times New Roman" w:cs="Times New Roman"/>
          <w:lang w:val="hr-HR"/>
        </w:rPr>
        <w:t xml:space="preserve"> je planiran u iznosu od 16.700,00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A100102 - POTPORA RADU POLITIČKIM STRANKAMA</w:t>
      </w:r>
      <w:r>
        <w:rPr>
          <w:rFonts w:hint="default" w:ascii="Times New Roman" w:hAnsi="Times New Roman" w:cs="Times New Roman"/>
          <w:lang w:val="hr-HR"/>
        </w:rPr>
        <w:t xml:space="preserve"> je planiran u iznosu od 3.700,00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A100103 - OBILJEŽAVANJE PROSLAVA DANA OPĆINE</w:t>
      </w:r>
      <w:r>
        <w:rPr>
          <w:rFonts w:hint="default" w:ascii="Times New Roman" w:hAnsi="Times New Roman" w:cs="Times New Roman"/>
          <w:lang w:val="hr-HR"/>
        </w:rPr>
        <w:t xml:space="preserve"> je planiran u iznosu od 5.695,00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A100106 - MJESNI ODBORI “PROGRAM MALIH KOMUNALNIH AKCIJA”</w:t>
      </w:r>
      <w:r>
        <w:rPr>
          <w:rFonts w:hint="default" w:ascii="Times New Roman" w:hAnsi="Times New Roman" w:cs="Times New Roman"/>
          <w:highlight w:val="lightGray"/>
          <w:lang w:val="hr-HR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je planiran u iznosu od 35.000,00 EUR.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cyan"/>
          <w:u w:val="single"/>
        </w:rPr>
        <w:t>Program 1002: „</w:t>
      </w:r>
      <w:r>
        <w:rPr>
          <w:rFonts w:hint="default" w:ascii="Times New Roman" w:hAnsi="Times New Roman" w:cs="Times New Roman"/>
          <w:b/>
          <w:highlight w:val="cyan"/>
          <w:u w:val="single"/>
          <w:lang w:val="hr-HR"/>
        </w:rPr>
        <w:t>REDOVNA DJELATNOST UPRAVE</w:t>
      </w:r>
      <w:r>
        <w:rPr>
          <w:rFonts w:ascii="Times New Roman" w:hAnsi="Times New Roman" w:cs="Times New Roman"/>
          <w:b/>
          <w:highlight w:val="cyan"/>
          <w:u w:val="single"/>
        </w:rPr>
        <w:t>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planiran je u iznosu od 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hr-HR"/>
        </w:rPr>
        <w:t>1.164.598,00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EUR</w:t>
      </w:r>
      <w:r>
        <w:rPr>
          <w:rFonts w:ascii="Times New Roman" w:hAnsi="Times New Roman" w:cs="Times New Roman"/>
          <w:color w:val="FF0000"/>
          <w:highlight w:val="none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Program obuhvaća aktivnosti kojima se osiguravaju sredstva za redovno financiranje zaposlenika iz radnog odnosa, a rashodi se odnose na sve odjele Općinske uprave, aktivnosti za podmirivanje materijalnih i financijskih rashoda, koji uključuju naknade za prijevoz zaposlenika, aktivnosti za podmirenje financijskih rashoda za bankarske usluge, usluge platnog prometa i ostale financijske rashode.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Osnovni cilj programa</w:t>
      </w:r>
      <w:r>
        <w:rPr>
          <w:rFonts w:ascii="Times New Roman" w:hAnsi="Times New Roman" w:cs="Times New Roman"/>
        </w:rPr>
        <w:t xml:space="preserve"> je dugoročno provoditi politiku plaća i drugih materijalnih prava zaposlenika Općine Posedarje u skladu s proračunskim mogućnostima te osigurati sredstva za nesmetano obavljanje upravnih, stručnih i ostalih poslova u službama uprave kao i redovno podmirivati sve financijske obveze prema zaposlenicima i ostalima te ostvariti uvjete za redovno funkcioniranje odjela. Osnovni je cilj unaprijediti kvalitetu života na području Općine Posedarje.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AKTIVNOST A100201: “IZVRŠNA UPRAVA I ADMINISTRACIJA”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planirana u iznosu od 1.002.562,00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AKTIVNOST A100208: “NAJAM VOZILA”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 u iznosu od 27.777,00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 xml:space="preserve">AKTIVNOST A100210: “FINANCIJSKI LEASING”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 u iznosu od 6.560,00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AKTIVNOST A100211: “AGLOMERACIJA KARINSKOG I NOVIGRADSKOG MORA”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 u iznosu od 3.098,00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AKTIVNOST A100213: “KAPITALNA POMOĆ TRGOVAČKIM DRUŠTVIMA”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 u iznosu od 12.000,00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K100204: “NABAVA OPREME (računalna oprema i uredska oprema)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 u iznosu od 2.901,00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K100206: “PROJEKTNA DOKUMENTACIJA ZA GRADNJU OPĆINSKE ZGRADE”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planirana u iznosu od 26.000,00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K100207: “NABAVA OSTALE OPREME”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planirana u iznosu od 3.700,00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highlight w:val="cyan"/>
          <w:u w:val="single"/>
          <w:lang w:val="hr-HR"/>
        </w:rPr>
        <w:t xml:space="preserve">PROGRAM 1003: Organizacija i provođenje zaštite i spašavanja 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>je planiran u iznosu od 751.778,00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>Ovaj program obuhvaća sudjelovanje u provedbi mjera zaštite od požara, eksplozija, gašenje požara, spašavanje ljudi i imovine ugroženih požarom i eksplozijom, pružanje tehničke pomoći u nezgodama i opasnim situacijama te obavljanje i drugih poslova u nesrećama. Ovu djelatnost obavljaju vatrogasne postrojbe, dobrovoljna vatrogasna društva i vatrogasne zajednice. Ustavom RH propisano je da jedinice lokalne samouprave obavljaju poslove iz lokalnog djelokruga kojima se neposredno ostvaruju potrebe građana među kojima je i zaštita od požara.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highlight w:val="none"/>
          <w:u w:val="none"/>
          <w:lang w:val="hr-HR"/>
        </w:rPr>
        <w:t>Osnovni cilj programa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 xml:space="preserve"> je zaštita i spašavanje.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A100301: “FUNKCIONIRANJE DVD-a Posedarje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 xml:space="preserve"> je planirana u iznosu od 89.786,00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A100302: “FUNKCIONIRANJE CIVILNE ZAŠTITE”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 xml:space="preserve"> je planirana u iznosu od 11.992,00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KAPITALNI PROJEKT K100304: “IZGRADNJA VATROGASNOG DOMA”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 xml:space="preserve"> je planirana u iznosu od 650.000,00 EUR.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</w:pPr>
      <w:r>
        <w:rPr>
          <w:rFonts w:hint="default" w:ascii="Times New Roman" w:hAnsi="Times New Roman" w:cs="Times New Roman"/>
          <w:b/>
          <w:bCs/>
          <w:highlight w:val="cyan"/>
          <w:u w:val="none"/>
          <w:lang w:val="hr-HR"/>
        </w:rPr>
        <w:t>Program 1005: “Poticanje razvoja turizma”</w:t>
      </w:r>
      <w:r>
        <w:rPr>
          <w:rFonts w:hint="default" w:ascii="Times New Roman" w:hAnsi="Times New Roman" w:cs="Times New Roman"/>
          <w:b/>
          <w:bCs/>
          <w:highlight w:val="none"/>
          <w:u w:val="none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highlight w:val="none"/>
          <w:u w:val="none"/>
          <w:lang w:val="hr-HR"/>
        </w:rPr>
        <w:t>je planiran u iznosu od 385.000,00 EUR.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none" w:color="auto" w:sz="0" w:space="0"/>
        </w:pBd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Cilj razvoja turizma </w:t>
      </w:r>
      <w:r>
        <w:rPr>
          <w:rFonts w:ascii="Times New Roman" w:hAnsi="Times New Roman" w:cs="Times New Roman"/>
        </w:rPr>
        <w:t>je poboljšati turističku infrastrukturu Općine Posedarje, poboljšati informiranost turista, ponuditi što više kvalitetnih događanja koja će proširiti turističku ponudu Općine Posedarje, a posebni ciljevi se odnose na stvaranje materijalnih preduvjeta za bavljenje turističkom djelatnošću, razvoj ljudskih potencijala za bavljenje turizmom kao i promoviranje Općine Posedarje kao turističke destinacije.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A100501: “Organizacija manifestacija Posedaračkog i Vinjeračkog ljeta”</w:t>
      </w:r>
      <w:r>
        <w:rPr>
          <w:rFonts w:hint="default" w:ascii="Times New Roman" w:hAnsi="Times New Roman" w:cs="Times New Roman"/>
          <w:lang w:val="hr-HR"/>
        </w:rPr>
        <w:t xml:space="preserve"> je planiran u iznosu od 195.000,00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A100504: “Pomoć Turističkoj zajednici područje Novigradsko more”</w:t>
      </w:r>
      <w:r>
        <w:rPr>
          <w:rFonts w:hint="default" w:ascii="Times New Roman" w:hAnsi="Times New Roman" w:cs="Times New Roman"/>
          <w:lang w:val="hr-HR"/>
        </w:rPr>
        <w:t xml:space="preserve"> je planirana u iznosu od 130.000,00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Kapitalni projekt K100503: “Opremanje turističkog ureda”</w:t>
      </w:r>
      <w:r>
        <w:rPr>
          <w:rFonts w:hint="default" w:ascii="Times New Roman" w:hAnsi="Times New Roman" w:cs="Times New Roman"/>
          <w:lang w:val="hr-HR"/>
        </w:rPr>
        <w:t xml:space="preserve"> je planirana u iznosu od 60.000,00 EUR.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  <w:r>
        <w:rPr>
          <w:rFonts w:hint="default" w:ascii="Times New Roman" w:hAnsi="Times New Roman" w:cs="Times New Roman"/>
          <w:b/>
          <w:bCs/>
          <w:highlight w:val="cyan"/>
          <w:lang w:val="hr-HR"/>
        </w:rPr>
        <w:t>Program 1006: “ZAŠTITA OKOLIŠA”</w:t>
      </w:r>
      <w:r>
        <w:rPr>
          <w:rFonts w:hint="default" w:ascii="Times New Roman" w:hAnsi="Times New Roman" w:cs="Times New Roman"/>
          <w:b/>
          <w:bCs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hr-HR"/>
        </w:rPr>
        <w:t>je planirana u iznosu od 413.109,00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b w:val="0"/>
          <w:bCs w:val="0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Cilj programa</w:t>
      </w:r>
      <w:r>
        <w:rPr>
          <w:rFonts w:ascii="Times New Roman" w:hAnsi="Times New Roman" w:cs="Times New Roman"/>
        </w:rPr>
        <w:t xml:space="preserve"> je zadovoljavanje zajedničkih komunalnih potreba građana kroz redovno održavanje za osiguranje kvalitetnog življenja građana.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A100601: “Odvoz otpada, deratizacija</w:t>
      </w:r>
      <w:r>
        <w:rPr>
          <w:rFonts w:hint="default" w:ascii="Times New Roman" w:hAnsi="Times New Roman" w:cs="Times New Roman"/>
          <w:lang w:val="hr-HR"/>
        </w:rPr>
        <w:t xml:space="preserve"> je planirana u iznosu od 86.109,00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A100604: “Sanacija nelegalnih odlagališta otpada”</w:t>
      </w:r>
      <w:r>
        <w:rPr>
          <w:rFonts w:hint="default" w:ascii="Times New Roman" w:hAnsi="Times New Roman" w:cs="Times New Roman"/>
          <w:lang w:val="hr-HR"/>
        </w:rPr>
        <w:t xml:space="preserve"> je planirana u iznosu od 10.000,00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A100605: “Elaborati za zaštitu okoliša”</w:t>
      </w:r>
      <w:r>
        <w:rPr>
          <w:rFonts w:hint="default" w:ascii="Times New Roman" w:hAnsi="Times New Roman" w:cs="Times New Roman"/>
          <w:lang w:val="hr-HR"/>
        </w:rPr>
        <w:t xml:space="preserve"> je planirana u iznosu od 10.000,00 EUR.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sz w:val="22"/>
          <w:szCs w:val="22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KAPITALNI PROJEKT K100605: “Ozelenjavanje Općine Posedarje”</w:t>
      </w:r>
      <w:r>
        <w:rPr>
          <w:rFonts w:hint="default" w:ascii="Times New Roman" w:hAnsi="Times New Roman" w:cs="Times New Roman"/>
          <w:lang w:val="hr-HR"/>
        </w:rPr>
        <w:t xml:space="preserve"> je planirana u iznosu od 300.000,00 EUR. </w:t>
      </w:r>
      <w:r>
        <w:rPr>
          <w:rFonts w:ascii="Times New Roman" w:hAnsi="Times New Roman" w:cs="Times New Roman"/>
          <w:sz w:val="22"/>
          <w:szCs w:val="22"/>
        </w:rPr>
        <w:t>Taj projekt se odnosi  na proj</w:t>
      </w:r>
      <w:r>
        <w:rPr>
          <w:rFonts w:hint="default" w:ascii="Times New Roman" w:hAnsi="Times New Roman" w:cs="Times New Roman"/>
          <w:sz w:val="22"/>
          <w:szCs w:val="22"/>
          <w:lang w:val="hr-HR"/>
        </w:rPr>
        <w:t>ek</w:t>
      </w:r>
      <w:r>
        <w:rPr>
          <w:rFonts w:ascii="Times New Roman" w:hAnsi="Times New Roman" w:cs="Times New Roman"/>
          <w:sz w:val="22"/>
          <w:szCs w:val="22"/>
        </w:rPr>
        <w:t>t ozelenajvanja javnih površina (groblja, parkova te ostalih javnih površina.). Taj projekt se financira iz dva izvora i to:80% od Fonda za zaštitu okoliša i ostatatak od 20% iz vlatitih izvora</w:t>
      </w:r>
    </w:p>
    <w:p>
      <w:pPr>
        <w:pStyle w:val="9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KAPITALNI PROJEKT K100606: “Nabava plovila i vozila za redarstvo”</w:t>
      </w:r>
      <w:r>
        <w:rPr>
          <w:rFonts w:hint="default" w:ascii="Times New Roman" w:hAnsi="Times New Roman" w:cs="Times New Roman"/>
          <w:lang w:val="hr-HR"/>
        </w:rPr>
        <w:t xml:space="preserve"> je planirana u iznosu od 7.000,00 EUR. </w:t>
      </w:r>
      <w:r>
        <w:rPr>
          <w:rFonts w:ascii="Times New Roman" w:hAnsi="Times New Roman" w:cs="Times New Roman"/>
          <w:sz w:val="22"/>
          <w:szCs w:val="22"/>
        </w:rPr>
        <w:t>Općina Posedarje zajedno s općinama Poličnik, Novigrad, Ražanac, Jasenice i Starigrad planira osnovati zajedničko komunalno redarstvo. Shodno s tim planirana sredstva planiraju se za opremanje budućeg zajedničkog poduzeća.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lang w:val="hr-HR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highlight w:val="cyan"/>
        </w:rPr>
        <w:t>Program 1005: „Održavanje komunalne infrastrukture“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Cs/>
        </w:rPr>
        <w:t xml:space="preserve">je planiran u iznosu od </w:t>
      </w:r>
      <w:r>
        <w:rPr>
          <w:rFonts w:ascii="Times New Roman" w:hAnsi="Times New Roman" w:cs="Times New Roman"/>
          <w:bCs/>
          <w:color w:val="auto"/>
          <w:highlight w:val="none"/>
        </w:rPr>
        <w:t>9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08</w:t>
      </w:r>
      <w:r>
        <w:rPr>
          <w:rFonts w:ascii="Times New Roman" w:hAnsi="Times New Roman" w:cs="Times New Roman"/>
          <w:bCs/>
          <w:color w:val="auto"/>
          <w:highlight w:val="none"/>
        </w:rPr>
        <w:t>.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955</w:t>
      </w:r>
      <w:r>
        <w:rPr>
          <w:rFonts w:ascii="Times New Roman" w:hAnsi="Times New Roman" w:cs="Times New Roman"/>
          <w:bCs/>
          <w:color w:val="auto"/>
          <w:highlight w:val="none"/>
        </w:rPr>
        <w:t>,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00</w:t>
      </w:r>
      <w:r>
        <w:rPr>
          <w:rFonts w:ascii="Times New Roman" w:hAnsi="Times New Roman" w:cs="Times New Roman"/>
          <w:bCs/>
          <w:color w:val="auto"/>
          <w:highlight w:val="none"/>
        </w:rPr>
        <w:t xml:space="preserve">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Cilj programa</w:t>
      </w:r>
      <w:r>
        <w:rPr>
          <w:rFonts w:ascii="Times New Roman" w:hAnsi="Times New Roman" w:cs="Times New Roman"/>
        </w:rPr>
        <w:t xml:space="preserve"> je zadovoljavanje zajedničkih komunalnih potreba građana kroz redovno održavanje za osiguranje kvalitetnog življenja građana. Program obuhvaća poslove održavanja komunalne infrastrukture razvrstane u aktivnosti i kapitalne projekte, koji predstavljaju obavljanje djelatnosti iz članka 72.Zakona o komunalnom gospodarstvu. Programom su osigurana sredstva za obavljanje poslova održavanja nerazvrstanih cesta, javne rasvjete, održavanje javnih površina, održavanje plaža, čišćenje javno-prometnih površina, uređenje okoliša objekata u vlasništvu Općine Posedarje, održavanje prometne signalizacije i održavanje groblja.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highlight w:val="lightGray"/>
        </w:rPr>
        <w:t>Aktivnost A100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>701</w:t>
      </w:r>
      <w:r>
        <w:rPr>
          <w:rFonts w:ascii="Times New Roman" w:hAnsi="Times New Roman" w:cs="Times New Roman"/>
          <w:b/>
          <w:highlight w:val="lightGray"/>
        </w:rPr>
        <w:t>: „Održavanje javnih površina“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je planirana u iznosu od</w:t>
      </w:r>
      <w:r>
        <w:rPr>
          <w:rFonts w:ascii="Times New Roman" w:hAnsi="Times New Roman" w:cs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>336.164,00</w:t>
      </w:r>
      <w:r>
        <w:rPr>
          <w:rFonts w:ascii="Times New Roman" w:hAnsi="Times New Roman" w:cs="Times New Roman"/>
          <w:color w:val="auto"/>
          <w:highlight w:val="none"/>
        </w:rPr>
        <w:t xml:space="preserve">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highlight w:val="lightGray"/>
        </w:rPr>
        <w:t>Aktivnost A100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>7</w:t>
      </w:r>
      <w:r>
        <w:rPr>
          <w:rFonts w:ascii="Times New Roman" w:hAnsi="Times New Roman" w:cs="Times New Roman"/>
          <w:b/>
          <w:highlight w:val="lightGray"/>
        </w:rPr>
        <w:t>0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>3</w:t>
      </w:r>
      <w:r>
        <w:rPr>
          <w:rFonts w:ascii="Times New Roman" w:hAnsi="Times New Roman" w:cs="Times New Roman"/>
          <w:b/>
          <w:highlight w:val="lightGray"/>
        </w:rPr>
        <w:t>: „Održavanje javne rasvjete“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je planirana u iznosu od </w:t>
      </w:r>
      <w:r>
        <w:rPr>
          <w:rFonts w:ascii="Times New Roman" w:hAnsi="Times New Roman" w:cs="Times New Roman"/>
          <w:color w:val="auto"/>
          <w:highlight w:val="none"/>
        </w:rPr>
        <w:t>1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>86.121,00</w:t>
      </w:r>
      <w:r>
        <w:rPr>
          <w:rFonts w:ascii="Times New Roman" w:hAnsi="Times New Roman" w:cs="Times New Roman"/>
          <w:color w:val="auto"/>
          <w:highlight w:val="none"/>
        </w:rPr>
        <w:t xml:space="preserve">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highlight w:val="lightGray"/>
        </w:rPr>
        <w:t>Aktivnost A100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>702</w:t>
      </w:r>
      <w:r>
        <w:rPr>
          <w:rFonts w:ascii="Times New Roman" w:hAnsi="Times New Roman" w:cs="Times New Roman"/>
          <w:b/>
          <w:highlight w:val="lightGray"/>
        </w:rPr>
        <w:t>: „Održavanje nerazvrstanih cesta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 xml:space="preserve"> (lokalnih puteva)</w:t>
      </w:r>
      <w:r>
        <w:rPr>
          <w:rFonts w:ascii="Times New Roman" w:hAnsi="Times New Roman" w:cs="Times New Roman"/>
          <w:b/>
          <w:highlight w:val="lightGray"/>
        </w:rPr>
        <w:t>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je planirana u iznosu od </w:t>
      </w:r>
      <w:r>
        <w:rPr>
          <w:rFonts w:ascii="Times New Roman" w:hAnsi="Times New Roman" w:cs="Times New Roman"/>
          <w:bCs/>
          <w:color w:val="auto"/>
          <w:highlight w:val="none"/>
        </w:rPr>
        <w:t>1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40</w:t>
      </w:r>
      <w:r>
        <w:rPr>
          <w:rFonts w:ascii="Times New Roman" w:hAnsi="Times New Roman" w:cs="Times New Roman"/>
          <w:bCs/>
          <w:color w:val="auto"/>
          <w:highlight w:val="none"/>
        </w:rPr>
        <w:t>.000,00 EUR.</w:t>
      </w:r>
      <w:r>
        <w:rPr>
          <w:rFonts w:ascii="Times New Roman" w:hAnsi="Times New Roman" w:cs="Times New Roman"/>
          <w:color w:val="auto"/>
          <w:highlight w:val="none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hint="default" w:ascii="Times New Roman" w:hAnsi="Times New Roman" w:cs="Times New Roman"/>
          <w:b/>
          <w:bCs/>
          <w:color w:val="auto"/>
          <w:highlight w:val="lightGray"/>
          <w:lang w:val="hr-HR"/>
        </w:rPr>
        <w:t>Aktivnost A100704: “Opskrba mještana vodom s hidranta”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 xml:space="preserve"> je planirana u iznosu od 22.335,00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highlight w:val="lightGray"/>
        </w:rPr>
        <w:t>Aktivnost A100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>705</w:t>
      </w:r>
      <w:r>
        <w:rPr>
          <w:rFonts w:ascii="Times New Roman" w:hAnsi="Times New Roman" w:cs="Times New Roman"/>
          <w:b/>
          <w:highlight w:val="lightGray"/>
        </w:rPr>
        <w:t>: „Održavanje groblja“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je planirana u iznosu od </w:t>
      </w:r>
      <w:r>
        <w:rPr>
          <w:rFonts w:hint="default" w:ascii="Times New Roman" w:hAnsi="Times New Roman" w:cs="Times New Roman"/>
          <w:lang w:val="hr-HR"/>
        </w:rPr>
        <w:t>3.520,00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color w:val="auto"/>
          <w:highlight w:val="lightGray"/>
        </w:rPr>
        <w:t>Aktivnost A100</w:t>
      </w:r>
      <w:r>
        <w:rPr>
          <w:rFonts w:hint="default" w:ascii="Times New Roman" w:hAnsi="Times New Roman" w:cs="Times New Roman"/>
          <w:b/>
          <w:color w:val="auto"/>
          <w:highlight w:val="lightGray"/>
          <w:lang w:val="hr-HR"/>
        </w:rPr>
        <w:t>706</w:t>
      </w:r>
      <w:r>
        <w:rPr>
          <w:rFonts w:ascii="Times New Roman" w:hAnsi="Times New Roman" w:cs="Times New Roman"/>
          <w:b/>
          <w:color w:val="auto"/>
          <w:highlight w:val="lightGray"/>
        </w:rPr>
        <w:t>: „</w:t>
      </w:r>
      <w:r>
        <w:rPr>
          <w:rFonts w:hint="default" w:ascii="Times New Roman" w:hAnsi="Times New Roman" w:cs="Times New Roman"/>
          <w:b/>
          <w:color w:val="auto"/>
          <w:highlight w:val="lightGray"/>
          <w:lang w:val="hr-HR"/>
        </w:rPr>
        <w:t>Održavanje</w:t>
      </w:r>
      <w:r>
        <w:rPr>
          <w:rFonts w:ascii="Times New Roman" w:hAnsi="Times New Roman" w:cs="Times New Roman"/>
          <w:b/>
          <w:color w:val="auto"/>
          <w:highlight w:val="lightGray"/>
        </w:rPr>
        <w:t xml:space="preserve"> plaža“</w:t>
      </w:r>
      <w:r>
        <w:rPr>
          <w:rFonts w:ascii="Times New Roman" w:hAnsi="Times New Roman" w:cs="Times New Roman"/>
          <w:b/>
          <w:color w:val="auto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highlight w:val="none"/>
        </w:rPr>
        <w:t xml:space="preserve">je planirana u iznosu od 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89.161,00</w:t>
      </w:r>
      <w:r>
        <w:rPr>
          <w:rFonts w:ascii="Times New Roman" w:hAnsi="Times New Roman" w:cs="Times New Roman"/>
          <w:bCs/>
          <w:color w:val="auto"/>
          <w:highlight w:val="none"/>
        </w:rPr>
        <w:t>, EUR.</w:t>
      </w:r>
      <w:r>
        <w:rPr>
          <w:rFonts w:ascii="Times New Roman" w:hAnsi="Times New Roman" w:cs="Times New Roman"/>
          <w:color w:val="auto"/>
          <w:highlight w:val="none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Times New Roman" w:hAnsi="Times New Roman" w:cs="Times New Roman"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highlight w:val="lightGray"/>
        </w:rPr>
        <w:t>Aktivnost A100569 : „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>U</w:t>
      </w:r>
      <w:r>
        <w:rPr>
          <w:rFonts w:ascii="Times New Roman" w:hAnsi="Times New Roman" w:cs="Times New Roman"/>
          <w:b/>
          <w:highlight w:val="lightGray"/>
        </w:rPr>
        <w:t>krašavanje Općinskih naselja</w:t>
      </w:r>
      <w:r>
        <w:rPr>
          <w:rFonts w:hint="default" w:ascii="Times New Roman" w:hAnsi="Times New Roman" w:cs="Times New Roman"/>
          <w:b/>
          <w:highlight w:val="lightGray"/>
          <w:lang w:val="hr-HR"/>
        </w:rPr>
        <w:t xml:space="preserve"> povodom blagdana</w:t>
      </w:r>
      <w:r>
        <w:rPr>
          <w:rFonts w:ascii="Times New Roman" w:hAnsi="Times New Roman" w:cs="Times New Roman"/>
          <w:b/>
          <w:highlight w:val="lightGray"/>
        </w:rPr>
        <w:t>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je planirana u iznosu od </w:t>
      </w:r>
      <w:r>
        <w:rPr>
          <w:rFonts w:hint="default" w:ascii="Times New Roman" w:hAnsi="Times New Roman" w:cs="Times New Roman"/>
          <w:bCs/>
          <w:lang w:val="hr-HR"/>
        </w:rPr>
        <w:t>21.6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 xml:space="preserve">54,00 </w:t>
      </w:r>
      <w:r>
        <w:rPr>
          <w:rFonts w:ascii="Times New Roman" w:hAnsi="Times New Roman" w:cs="Times New Roman"/>
          <w:bCs/>
          <w:color w:val="auto"/>
          <w:highlight w:val="none"/>
        </w:rPr>
        <w:t>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 w:val="0"/>
          <w:bCs/>
          <w:color w:val="auto"/>
          <w:highlight w:val="none"/>
          <w:lang w:val="hr-HR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lightGray"/>
          <w:lang w:val="hr-HR"/>
        </w:rPr>
        <w:t>Aktivnost A100710: “Investicijsko održavanje puteva - postavljanje asfaltnog sloja”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highlight w:val="none"/>
          <w:lang w:val="hr-HR"/>
        </w:rPr>
        <w:t>je planirano u iznosu od 100.000,00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Times New Roman" w:hAnsi="Times New Roman" w:cs="Times New Roman"/>
          <w:b/>
          <w:bCs w:val="0"/>
          <w:color w:val="auto"/>
          <w:highlight w:val="none"/>
          <w:lang w:val="hr-HR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lightGray"/>
          <w:lang w:val="hr-HR"/>
        </w:rPr>
        <w:t>Aktivnost A100712: “Legalizacija komunalne infrastrukture”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hr-H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highlight w:val="none"/>
          <w:lang w:val="hr-HR"/>
        </w:rPr>
        <w:t>je planirano u iznosu od 10.000,00 EUR.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/>
          <w:highlight w:val="cyan"/>
          <w:u w:val="single"/>
        </w:rPr>
        <w:t>Program 100</w:t>
      </w:r>
      <w:r>
        <w:rPr>
          <w:rFonts w:hint="default" w:ascii="Times New Roman" w:hAnsi="Times New Roman" w:cs="Times New Roman"/>
          <w:b/>
          <w:highlight w:val="cyan"/>
          <w:u w:val="single"/>
          <w:lang w:val="hr-HR"/>
        </w:rPr>
        <w:t>8</w:t>
      </w:r>
      <w:r>
        <w:rPr>
          <w:rFonts w:ascii="Times New Roman" w:hAnsi="Times New Roman" w:cs="Times New Roman"/>
          <w:b/>
          <w:highlight w:val="cyan"/>
          <w:u w:val="single"/>
        </w:rPr>
        <w:t>: „Izgradnja</w:t>
      </w:r>
      <w:r>
        <w:rPr>
          <w:rFonts w:hint="default" w:ascii="Times New Roman" w:hAnsi="Times New Roman" w:cs="Times New Roman"/>
          <w:b/>
          <w:highlight w:val="cyan"/>
          <w:u w:val="single"/>
          <w:lang w:val="hr-HR"/>
        </w:rPr>
        <w:t xml:space="preserve"> </w:t>
      </w:r>
      <w:r>
        <w:rPr>
          <w:rFonts w:ascii="Times New Roman" w:hAnsi="Times New Roman" w:cs="Times New Roman"/>
          <w:b/>
          <w:highlight w:val="cyan"/>
          <w:u w:val="single"/>
        </w:rPr>
        <w:t>komunalne infrastrukture“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je planirana u iznosu od </w:t>
      </w:r>
      <w:r>
        <w:rPr>
          <w:rFonts w:hint="default" w:ascii="Times New Roman" w:hAnsi="Times New Roman" w:cs="Times New Roman"/>
          <w:bCs/>
          <w:lang w:val="hr-HR"/>
        </w:rPr>
        <w:t>4.370.995,00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Opis i cilj programa: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Ovim programom je obuhvaćena izrada projektne dokumentacije te izgradnja komunalne i društvene infrastrukture i objekata na području Općine Posedarje; temelji se na prostorno razvojnim planovima Općine Posedarje, potrebi Općine Posedarje kao cjeline odnosno njegovih pojedinih dijelova, gospodarskim mogućnostima i raspoloživim financijskim sredstvima Općine Posedarje. Primarni cilj ovog programa je uređenje i razvoj Općine Posedarje, odnosno poboljšanje životnih uvjeta stanovanja za mještane Općine Posedarje.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A100874: “KATASTARSKA IZMJERA k.o. SLIVNICA</w:t>
      </w:r>
      <w:r>
        <w:rPr>
          <w:rFonts w:hint="default" w:ascii="Times New Roman" w:hAnsi="Times New Roman" w:cs="Times New Roman"/>
          <w:lang w:val="hr-HR"/>
        </w:rPr>
        <w:t xml:space="preserve"> je planirana u iznosu od 113.000,00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A100875: “KATASTARSKA IZMJERA k.o. VINJERAC</w:t>
      </w:r>
      <w:r>
        <w:rPr>
          <w:rFonts w:hint="default" w:ascii="Times New Roman" w:hAnsi="Times New Roman" w:cs="Times New Roman"/>
          <w:lang w:val="hr-HR"/>
        </w:rPr>
        <w:t xml:space="preserve"> je planirana u iznosu od 113.000,00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A100876: “KATASTARSKA IZMJERA k.o. ISLAM LATINSKI</w:t>
      </w:r>
      <w:r>
        <w:rPr>
          <w:rFonts w:hint="default" w:ascii="Times New Roman" w:hAnsi="Times New Roman" w:cs="Times New Roman"/>
          <w:lang w:val="hr-HR"/>
        </w:rPr>
        <w:t xml:space="preserve">  je planirana u iznosu od 50.000,00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color w:val="auto"/>
          <w:highlight w:val="lightGray"/>
          <w:lang w:val="hr-HR"/>
        </w:rPr>
        <w:t>Aktivnost A100879: “PROJEKT SPORTSKE DVORANE POSEDARJE”</w:t>
      </w:r>
      <w:r>
        <w:rPr>
          <w:rFonts w:hint="default" w:ascii="Times New Roman" w:hAnsi="Times New Roman" w:cs="Times New Roman"/>
          <w:lang w:val="hr-HR"/>
        </w:rPr>
        <w:t xml:space="preserve"> je planirana u iznosu od 42.500,00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Aktivnost A100879: “PROJEKT BOĆALIŠTA - POSEDARJE</w:t>
      </w:r>
      <w:r>
        <w:rPr>
          <w:rFonts w:hint="default" w:ascii="Times New Roman" w:hAnsi="Times New Roman" w:cs="Times New Roman"/>
          <w:lang w:val="hr-HR"/>
        </w:rPr>
        <w:t>” je planirana u iznosu od 10.000,00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Kapitalni projekt K100802: “Izgradnja vodovoda”</w:t>
      </w:r>
      <w:r>
        <w:rPr>
          <w:rFonts w:hint="default" w:ascii="Times New Roman" w:hAnsi="Times New Roman" w:cs="Times New Roman"/>
          <w:lang w:val="hr-HR"/>
        </w:rPr>
        <w:t xml:space="preserve"> je planirana u iznosu od 160.300,00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 xml:space="preserve">Kapitalni projekt K100804: “Izgradnja dječjih igrališta” </w:t>
      </w:r>
      <w:r>
        <w:rPr>
          <w:rFonts w:hint="default" w:ascii="Times New Roman" w:hAnsi="Times New Roman" w:cs="Times New Roman"/>
          <w:lang w:val="hr-HR"/>
        </w:rPr>
        <w:t>je planirana u iznosu od 65.000,00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K100805: “Rekonstrukcija groblja”</w:t>
      </w:r>
      <w:r>
        <w:rPr>
          <w:rFonts w:hint="default" w:ascii="Times New Roman" w:hAnsi="Times New Roman" w:cs="Times New Roman"/>
          <w:lang w:val="hr-HR"/>
        </w:rPr>
        <w:t xml:space="preserve"> je planirana u iznosu od 495.000,00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 xml:space="preserve">Kapitalni projekt K100807: “Izrada urbanističkih planova i projektne dokumentacije” </w:t>
      </w:r>
      <w:r>
        <w:rPr>
          <w:rFonts w:hint="default" w:ascii="Times New Roman" w:hAnsi="Times New Roman" w:cs="Times New Roman"/>
          <w:lang w:val="hr-HR"/>
        </w:rPr>
        <w:t>je planirana u iznosu od 687.470,00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K100807: “Izgradnja prometnica”</w:t>
      </w:r>
      <w:r>
        <w:rPr>
          <w:rFonts w:hint="default" w:ascii="Times New Roman" w:hAnsi="Times New Roman" w:cs="Times New Roman"/>
          <w:lang w:val="hr-HR"/>
        </w:rPr>
        <w:t xml:space="preserve"> je planirana u iznosu od 310.000,00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K100811: “Izgradnja autobusnih stajališta (kućica)”</w:t>
      </w:r>
      <w:r>
        <w:rPr>
          <w:rFonts w:hint="default" w:ascii="Times New Roman" w:hAnsi="Times New Roman" w:cs="Times New Roman"/>
          <w:lang w:val="hr-HR"/>
        </w:rPr>
        <w:t xml:space="preserve"> je planirana u iznosu od 15.000,00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K100814: “Izgradnja poslovne zone Posedarje”</w:t>
      </w:r>
      <w:r>
        <w:rPr>
          <w:rFonts w:hint="default" w:ascii="Times New Roman" w:hAnsi="Times New Roman" w:cs="Times New Roman"/>
          <w:lang w:val="hr-HR"/>
        </w:rPr>
        <w:t xml:space="preserve"> je planirana u iznosu od 800.000,00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K100815: “Izgradnja javne rasvjete”</w:t>
      </w:r>
      <w:r>
        <w:rPr>
          <w:rFonts w:hint="default" w:ascii="Times New Roman" w:hAnsi="Times New Roman" w:cs="Times New Roman"/>
          <w:lang w:val="hr-HR"/>
        </w:rPr>
        <w:t xml:space="preserve"> je planirana u iznosu od 50.000,00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K100821: “Izgradnja komunalne infrastrukture u Ivandićima”</w:t>
      </w:r>
      <w:r>
        <w:rPr>
          <w:rFonts w:hint="default" w:ascii="Times New Roman" w:hAnsi="Times New Roman" w:cs="Times New Roman"/>
          <w:lang w:val="hr-HR"/>
        </w:rPr>
        <w:t xml:space="preserve"> je planirana u iznosu od 46.453,00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K100822: “Rekonstrukcija vanjske rasvjete</w:t>
      </w:r>
      <w:r>
        <w:rPr>
          <w:rFonts w:hint="default" w:ascii="Times New Roman" w:hAnsi="Times New Roman" w:cs="Times New Roman"/>
          <w:lang w:val="hr-HR"/>
        </w:rPr>
        <w:t>” je planirana u iznosu od 620.000,00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K100823: “Izgradnja kružnog raskrižja Sveti Duh Podgradina”</w:t>
      </w:r>
      <w:r>
        <w:rPr>
          <w:rFonts w:hint="default" w:ascii="Times New Roman" w:hAnsi="Times New Roman" w:cs="Times New Roman"/>
          <w:lang w:val="hr-HR"/>
        </w:rPr>
        <w:t xml:space="preserve"> je planirana u iznosu od 13.272,00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Kapitalni projekt K100825: “Izgradnja mosta na Baštici i ormitološke šetnice Sveti Duh”</w:t>
      </w:r>
      <w:r>
        <w:rPr>
          <w:rFonts w:hint="default" w:ascii="Times New Roman" w:hAnsi="Times New Roman" w:cs="Times New Roman"/>
          <w:lang w:val="hr-HR"/>
        </w:rPr>
        <w:t xml:space="preserve"> je planirana u iznosu od 750.000,00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lang w:val="hr-HR"/>
        </w:rPr>
        <w:t>Tekući projekt T100819: “Rekonstrukcija DRUŠTVENI DOM SLIVNICA”</w:t>
      </w:r>
      <w:r>
        <w:rPr>
          <w:rFonts w:hint="default" w:ascii="Times New Roman" w:hAnsi="Times New Roman" w:cs="Times New Roman"/>
          <w:lang w:val="hr-HR"/>
        </w:rPr>
        <w:t xml:space="preserve"> je planirana u iznosu od 30.000,00 EUR.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highlight w:val="cyan"/>
        </w:rPr>
        <w:t>Program 10</w:t>
      </w:r>
      <w:r>
        <w:rPr>
          <w:rFonts w:hint="default" w:ascii="Times New Roman" w:hAnsi="Times New Roman" w:cs="Times New Roman"/>
          <w:b/>
          <w:highlight w:val="cyan"/>
          <w:lang w:val="hr-HR"/>
        </w:rPr>
        <w:t>10</w:t>
      </w:r>
      <w:r>
        <w:rPr>
          <w:rFonts w:ascii="Times New Roman" w:hAnsi="Times New Roman" w:cs="Times New Roman"/>
          <w:b/>
          <w:highlight w:val="cyan"/>
        </w:rPr>
        <w:t>: „</w:t>
      </w:r>
      <w:r>
        <w:rPr>
          <w:rFonts w:hint="default" w:ascii="Times New Roman" w:hAnsi="Times New Roman" w:cs="Times New Roman"/>
          <w:b/>
          <w:highlight w:val="cyan"/>
          <w:lang w:val="hr-HR"/>
        </w:rPr>
        <w:t>Razvoj sporta i rekreacije</w:t>
      </w:r>
      <w:r>
        <w:rPr>
          <w:rFonts w:ascii="Times New Roman" w:hAnsi="Times New Roman" w:cs="Times New Roman"/>
          <w:b/>
          <w:highlight w:val="cyan"/>
        </w:rPr>
        <w:t>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je planiran u iznos</w:t>
      </w:r>
      <w:r>
        <w:rPr>
          <w:rFonts w:ascii="Times New Roman" w:hAnsi="Times New Roman" w:cs="Times New Roman"/>
          <w:bCs/>
          <w:color w:val="auto"/>
          <w:highlight w:val="none"/>
        </w:rPr>
        <w:t xml:space="preserve">u od 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337.640,00</w:t>
      </w:r>
      <w:r>
        <w:rPr>
          <w:rFonts w:ascii="Times New Roman" w:hAnsi="Times New Roman" w:cs="Times New Roman"/>
          <w:bCs/>
          <w:color w:val="auto"/>
          <w:highlight w:val="none"/>
        </w:rPr>
        <w:t xml:space="preserve">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hr-HR"/>
        </w:rPr>
        <w:t>Ovaj program obuhvaća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d</w:t>
      </w:r>
      <w:r>
        <w:rPr>
          <w:rFonts w:ascii="Times New Roman" w:hAnsi="Times New Roman" w:cs="Times New Roman"/>
        </w:rPr>
        <w:t>onacij</w:t>
      </w:r>
      <w:r>
        <w:rPr>
          <w:rFonts w:hint="default" w:ascii="Times New Roman" w:hAnsi="Times New Roman" w:cs="Times New Roman"/>
          <w:lang w:val="hr-HR"/>
        </w:rPr>
        <w:t>e</w:t>
      </w:r>
      <w:r>
        <w:rPr>
          <w:rFonts w:ascii="Times New Roman" w:hAnsi="Times New Roman" w:cs="Times New Roman"/>
        </w:rPr>
        <w:t xml:space="preserve"> doznačene za realizaciju raznih projekata i manifestacija sportskih, kulturnih i ostalih udruga i raznih društava, koji su dužni pravdati utrošena sredstva naknadnim izvješćima.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highlight w:val="lightGray"/>
          <w:u w:val="single"/>
        </w:rPr>
        <w:t>A1</w:t>
      </w:r>
      <w:r>
        <w:rPr>
          <w:rFonts w:hint="default" w:ascii="Times New Roman" w:hAnsi="Times New Roman" w:cs="Times New Roman"/>
          <w:b/>
          <w:bCs/>
          <w:color w:val="auto"/>
          <w:highlight w:val="lightGray"/>
          <w:u w:val="single"/>
          <w:lang w:val="hr-HR"/>
        </w:rPr>
        <w:t>01001: Financiranje sportskih udruga</w:t>
      </w:r>
      <w:r>
        <w:rPr>
          <w:rFonts w:ascii="Times New Roman" w:hAnsi="Times New Roman" w:cs="Times New Roman"/>
          <w:b/>
          <w:bCs/>
          <w:color w:val="auto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highlight w:val="none"/>
        </w:rPr>
        <w:t xml:space="preserve">je planiran u iznosu od 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>180.000</w:t>
      </w:r>
      <w:r>
        <w:rPr>
          <w:rFonts w:ascii="Times New Roman" w:hAnsi="Times New Roman" w:cs="Times New Roman"/>
          <w:color w:val="auto"/>
          <w:highlight w:val="none"/>
        </w:rPr>
        <w:t>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color w:val="auto"/>
          <w:highlight w:val="none"/>
          <w:lang w:val="hr-HR"/>
        </w:rPr>
      </w:pPr>
      <w:r>
        <w:rPr>
          <w:rFonts w:hint="default" w:ascii="Times New Roman" w:hAnsi="Times New Roman" w:cs="Times New Roman"/>
          <w:b/>
          <w:bCs/>
          <w:color w:val="auto"/>
          <w:highlight w:val="lightGray"/>
          <w:u w:val="single"/>
          <w:lang w:val="hr-HR"/>
        </w:rPr>
        <w:t>K101002: Izgradnja sportskih objekata</w:t>
      </w:r>
      <w:r>
        <w:rPr>
          <w:rFonts w:hint="default" w:ascii="Times New Roman" w:hAnsi="Times New Roman" w:cs="Times New Roman"/>
          <w:color w:val="auto"/>
          <w:highlight w:val="none"/>
          <w:lang w:val="hr-HR"/>
        </w:rPr>
        <w:t xml:space="preserve"> je planiran u iznosu od 157.640,00 EUR.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highlight w:val="cyan"/>
          <w:u w:val="none"/>
        </w:rPr>
        <w:t>Program 100</w:t>
      </w:r>
      <w:r>
        <w:rPr>
          <w:rFonts w:hint="default" w:ascii="Times New Roman" w:hAnsi="Times New Roman" w:cs="Times New Roman"/>
          <w:b/>
          <w:highlight w:val="cyan"/>
          <w:u w:val="none"/>
          <w:lang w:val="hr-HR"/>
        </w:rPr>
        <w:t>9</w:t>
      </w:r>
      <w:r>
        <w:rPr>
          <w:rFonts w:ascii="Times New Roman" w:hAnsi="Times New Roman" w:cs="Times New Roman"/>
          <w:b/>
          <w:highlight w:val="cyan"/>
          <w:u w:val="none"/>
        </w:rPr>
        <w:t>: „</w:t>
      </w:r>
      <w:r>
        <w:rPr>
          <w:rFonts w:hint="default" w:ascii="Times New Roman" w:hAnsi="Times New Roman" w:cs="Times New Roman"/>
          <w:b/>
          <w:highlight w:val="cyan"/>
          <w:u w:val="none"/>
          <w:lang w:val="hr-HR"/>
        </w:rPr>
        <w:t>Promicanje kulture</w:t>
      </w:r>
      <w:r>
        <w:rPr>
          <w:rFonts w:ascii="Times New Roman" w:hAnsi="Times New Roman" w:cs="Times New Roman"/>
          <w:b/>
          <w:highlight w:val="cyan"/>
          <w:u w:val="none"/>
        </w:rPr>
        <w:t>“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je planiran u iznosu od</w:t>
      </w:r>
      <w:r>
        <w:rPr>
          <w:rFonts w:ascii="Times New Roman" w:hAnsi="Times New Roman" w:cs="Times New Roman"/>
          <w:bCs/>
          <w:color w:val="auto"/>
          <w:highlight w:val="none"/>
        </w:rPr>
        <w:t xml:space="preserve"> 7</w:t>
      </w:r>
      <w:r>
        <w:rPr>
          <w:rFonts w:hint="default" w:ascii="Times New Roman" w:hAnsi="Times New Roman" w:cs="Times New Roman"/>
          <w:bCs/>
          <w:color w:val="auto"/>
          <w:highlight w:val="none"/>
          <w:lang w:val="hr-HR"/>
        </w:rPr>
        <w:t>2.719,00</w:t>
      </w:r>
      <w:r>
        <w:rPr>
          <w:rFonts w:ascii="Times New Roman" w:hAnsi="Times New Roman" w:cs="Times New Roman"/>
          <w:bCs/>
          <w:color w:val="auto"/>
          <w:highlight w:val="none"/>
        </w:rPr>
        <w:t xml:space="preserve">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/>
          <w:lang w:val="hr-HR"/>
        </w:rPr>
        <w:t>Ovaj program obuhvaća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hr-HR"/>
        </w:rPr>
        <w:t>d</w:t>
      </w:r>
      <w:r>
        <w:rPr>
          <w:rFonts w:ascii="Times New Roman" w:hAnsi="Times New Roman" w:cs="Times New Roman"/>
        </w:rPr>
        <w:t>onacije doznačene za realizaciju raznih projekata i manifestacija kulturnih, koji su dužni pravdati utrošena sredstva naknadnim izvješćima.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A100901: “Kulturne manifestacije”</w:t>
      </w:r>
      <w:r>
        <w:rPr>
          <w:rFonts w:hint="default" w:ascii="Times New Roman" w:hAnsi="Times New Roman" w:cs="Times New Roman"/>
          <w:lang w:val="hr-HR"/>
        </w:rPr>
        <w:t xml:space="preserve"> su planirane u iznosu od 15.665,00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A100903: “Religija”</w:t>
      </w:r>
      <w:r>
        <w:rPr>
          <w:rFonts w:hint="default" w:ascii="Times New Roman" w:hAnsi="Times New Roman" w:cs="Times New Roman"/>
          <w:lang w:val="hr-HR"/>
        </w:rPr>
        <w:t xml:space="preserve"> je planirana u iznosu od 7.054,00 EUR.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155"/>
        </w:tabs>
        <w:jc w:val="both"/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  <w:b/>
          <w:bCs/>
          <w:highlight w:val="lightGray"/>
          <w:u w:val="single"/>
          <w:lang w:val="hr-HR"/>
        </w:rPr>
        <w:t>Aktivnost A100905: “Provedba programa udruga u kulturi”</w:t>
      </w:r>
      <w:r>
        <w:rPr>
          <w:rFonts w:hint="default" w:ascii="Times New Roman" w:hAnsi="Times New Roman" w:cs="Times New Roman"/>
          <w:lang w:val="hr-HR"/>
        </w:rPr>
        <w:t xml:space="preserve"> je planirana u iznosu od 50.000,00 EUR.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cyan"/>
        </w:rPr>
        <w:t>Program 1011 Javne potrebe u školstvu</w:t>
      </w:r>
      <w:r>
        <w:rPr>
          <w:rFonts w:ascii="Times New Roman" w:hAnsi="Times New Roman" w:cs="Times New Roman"/>
          <w:sz w:val="22"/>
          <w:szCs w:val="22"/>
        </w:rPr>
        <w:t xml:space="preserve"> planirano je u iznosu od 1.022.713€ a obuhvaća aktivnosti: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highlight w:val="lightGray"/>
          <w:u w:val="single"/>
        </w:rPr>
        <w:t>Aktivnost A101101 Osnovno,srednjoškolsko i visoko obrazovanje</w:t>
      </w:r>
      <w:r>
        <w:rPr>
          <w:rFonts w:ascii="Times New Roman" w:hAnsi="Times New Roman" w:cs="Times New Roman"/>
          <w:sz w:val="22"/>
          <w:szCs w:val="22"/>
        </w:rPr>
        <w:t xml:space="preserve"> u iznosu od 137.500€ a obuhvaća tekuće pomoći proračunskim korisnicima drugih proračuna u iznosu od 24.000€ a odnosi se na pomoć dječjem vrtiću Ljubičica u Maslenici radi boravka djece s područja Općine Posedarje u njihovom vrtiću, kapitalne pomoći proračunskim korisnicima drugih proračuna u iznosu odn 35.000€ a odnose se na pomoć osnovnoj školi Braća Ribar Posedarje za potrebe izgradnje nove kuhinje u Podgradini i za uređenje dvorišta u Podgradini, stipendije studentima u iznosu od 40.000€, sufinanciranje prijevoza srednjiškolaca u iznosu od 6.500€, sufinanciranje kupnje radnog materijala za potrebe osnovnoškolaca u iznosu od 25.000€, kupnja likovnih kutija za osnovnoškolce u iznosu od 7.000€.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t>Kapitalni projekt K101106 Izgradnja novog dječjeg vrtića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 iznosu od 885.213€.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Jedna od nužnih potreba stanovnika Općine Posedarje je gradnja novog dječjeg vrtića. Novi vrtić bi se gradio u Posedarju na predjelu Čelinka. Ukupni troškovi gradnje planiraju se cca 2.500.000€ čija se gradnja planira kroz trogodišnje razdoblje. Financiranje projekta planira se iz EU-sredstva-zajednička poljoprivredna politika 80% a ostatak iz vlastitih izvora.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cyan"/>
          <w:u w:val="single"/>
        </w:rPr>
        <w:t>Program 1012</w:t>
      </w:r>
      <w:r>
        <w:rPr>
          <w:rFonts w:ascii="Times New Roman" w:hAnsi="Times New Roman" w:cs="Times New Roman"/>
          <w:sz w:val="22"/>
          <w:szCs w:val="22"/>
          <w:highlight w:val="cyan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cyan"/>
          <w:u w:val="single"/>
        </w:rPr>
        <w:t>općinski program socijalne skrbi</w:t>
      </w:r>
      <w:r>
        <w:rPr>
          <w:rFonts w:ascii="Times New Roman" w:hAnsi="Times New Roman" w:cs="Times New Roman"/>
          <w:sz w:val="22"/>
          <w:szCs w:val="22"/>
        </w:rPr>
        <w:t xml:space="preserve"> planiran je u iznosu od 258.133€ a obuhvaća aktivnost: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t>Aktivnost A101201</w:t>
      </w:r>
      <w:r>
        <w:rPr>
          <w:rFonts w:ascii="Times New Roman" w:hAnsi="Times New Roman" w:cs="Times New Roman"/>
          <w:sz w:val="22"/>
          <w:szCs w:val="22"/>
          <w:highlight w:val="lightGray"/>
          <w:u w:val="single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t>Naknade građanima i kućanstvima</w:t>
      </w:r>
      <w:r>
        <w:rPr>
          <w:rFonts w:ascii="Times New Roman" w:hAnsi="Times New Roman" w:cs="Times New Roman"/>
          <w:sz w:val="22"/>
          <w:szCs w:val="22"/>
        </w:rPr>
        <w:t xml:space="preserve"> u iznosu od 127.775€ a obuhvaća tekuće pomoći proračunskim korisnicima drugih proračuna (sufinanciranje boravka djece u Latici u iznosu od 2.900€) ,porodiljne naknade i oprema za novorođenčad u iznosu od 50.000€, sufinanciranje cijene prijevoza djece u vrtić Latica te jedne invalidne osobe na liječenje u iznosu od 1.126€,  troškovi stanovanja a odnosi se na plaćanja troškova smještaja jedne studentice u studentskom domu u iznosu od 750€  i troškove stanovanja koji se temelje na novom zakonu o socijalnojn skrbi u iznosu od 3.300€, tekuće donacije planirane su u iznosu od 69.699€ i to. 9.843€ potrebitim kućanstvima, 50.000€ jednokratna pomoć umirovljenicima te 9.856 pomoć Crvenom križu Zadar.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lightGray"/>
          <w:u w:val="single"/>
        </w:rPr>
        <w:t>Tekući projekt T101023 Projekt Zlatne ruke</w:t>
      </w:r>
      <w:r>
        <w:rPr>
          <w:rFonts w:ascii="Times New Roman" w:hAnsi="Times New Roman" w:cs="Times New Roman"/>
          <w:sz w:val="22"/>
          <w:szCs w:val="22"/>
        </w:rPr>
        <w:t xml:space="preserve"> planiran je u iznosi od 130.358€. Taj projekt se financira iz sredstava EU a odnosi se na pružanje pomoći potrebitim starijim osobama korz zapošljavanje geront domaćica. Planiranje tog projekta ide kroz trogodišnje razdoblje.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cyan"/>
        </w:rPr>
        <w:t>Proračunski korisnik 47070 Dječji vrtić Cvrčak Posedarje</w:t>
      </w:r>
      <w:r>
        <w:rPr>
          <w:rFonts w:ascii="Times New Roman" w:hAnsi="Times New Roman" w:cs="Times New Roman"/>
          <w:sz w:val="22"/>
          <w:szCs w:val="22"/>
        </w:rPr>
        <w:t xml:space="preserve"> planiran je u iznosu od 368.502€.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Obuhvaća aktivnost: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t>A101102 Financiranje dječjeg vrtića Cvrčak Posedarje</w:t>
      </w:r>
      <w:r>
        <w:rPr>
          <w:rFonts w:ascii="Times New Roman" w:hAnsi="Times New Roman" w:cs="Times New Roman"/>
          <w:sz w:val="22"/>
          <w:szCs w:val="22"/>
        </w:rPr>
        <w:t xml:space="preserve"> u iznosu od  307.000€ što Općina Posedarje financira iz svog proračuna a odnosi se na bruto plaće, ostale rashode za zaposlene, rashode za materijal i energiju, ostale nespomenute rashode poslovanja.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  <w:u w:val="single"/>
        </w:rPr>
        <w:t>Aktivnost A101103 Financiranje dječjeg vrtića Cvrčak posedarje van riznice</w:t>
      </w:r>
      <w:r>
        <w:rPr>
          <w:rFonts w:ascii="Times New Roman" w:hAnsi="Times New Roman" w:cs="Times New Roman"/>
          <w:sz w:val="22"/>
          <w:szCs w:val="22"/>
        </w:rPr>
        <w:t xml:space="preserve">  u iznosu od 61.502€ obuhvaća troškove vrtića koje vrtić financira iz svog proračuna.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cyan"/>
        </w:rPr>
        <w:t>Program 1015 Djelatnost vlastitog komunalnog</w:t>
      </w:r>
      <w:r>
        <w:rPr>
          <w:rFonts w:ascii="Times New Roman" w:hAnsi="Times New Roman" w:cs="Times New Roman"/>
          <w:sz w:val="22"/>
          <w:szCs w:val="22"/>
          <w:highlight w:val="cyan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highlight w:val="cyan"/>
        </w:rPr>
        <w:t>pogona</w:t>
      </w:r>
      <w:r>
        <w:rPr>
          <w:rFonts w:ascii="Times New Roman" w:hAnsi="Times New Roman" w:cs="Times New Roman"/>
          <w:sz w:val="22"/>
          <w:szCs w:val="22"/>
        </w:rPr>
        <w:t xml:space="preserve"> planiran je u iznosu od 334.980€ 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Obuhvaća aktivnost i projekt i to: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highlight w:val="lightGray"/>
          <w:u w:val="single"/>
        </w:rPr>
        <w:t>Aktivnost A101501 redovita djelatnost vlastitog komunalnog pogona</w:t>
      </w:r>
      <w:r>
        <w:rPr>
          <w:rFonts w:ascii="Times New Roman" w:hAnsi="Times New Roman" w:cs="Times New Roman"/>
          <w:sz w:val="22"/>
          <w:szCs w:val="22"/>
        </w:rPr>
        <w:t xml:space="preserve"> u iznosu od 270.839€ a obuhvaća rashode za zaposlene, materijalne rashode.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highlight w:val="lightGray"/>
          <w:u w:val="single"/>
        </w:rPr>
        <w:t>Aktivnost A101502 Naplata parkinga</w:t>
      </w:r>
      <w:r>
        <w:rPr>
          <w:rFonts w:ascii="Times New Roman" w:hAnsi="Times New Roman" w:cs="Times New Roman"/>
          <w:sz w:val="22"/>
          <w:szCs w:val="22"/>
        </w:rPr>
        <w:t xml:space="preserve"> u iznosu od 24.141€ kuna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obuhvaća sve materijalne rashode oko organizacije naplate parkinga.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 w:val="0"/>
          <w:sz w:val="22"/>
          <w:szCs w:val="22"/>
          <w:highlight w:val="lightGray"/>
          <w:u w:val="single"/>
        </w:rPr>
        <w:t>Kapitalni projekt K101501 Opremanje vlastitog komunalnog pogona</w:t>
      </w:r>
      <w:r>
        <w:rPr>
          <w:rFonts w:ascii="Times New Roman" w:hAnsi="Times New Roman" w:cs="Times New Roman"/>
          <w:sz w:val="22"/>
          <w:szCs w:val="22"/>
        </w:rPr>
        <w:t xml:space="preserve"> odnosi se na kupnju opreme za vlastiti komunalni pogon u iznosu od 40.000€.</w:t>
      </w:r>
    </w:p>
    <w:p>
      <w:pPr>
        <w:pStyle w:val="9"/>
        <w:ind w:left="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56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DB"/>
    <w:rsid w:val="00024C6B"/>
    <w:rsid w:val="00076E61"/>
    <w:rsid w:val="00114D76"/>
    <w:rsid w:val="00125B1A"/>
    <w:rsid w:val="001370A6"/>
    <w:rsid w:val="001540A3"/>
    <w:rsid w:val="00164F1E"/>
    <w:rsid w:val="00184D7E"/>
    <w:rsid w:val="001C53A6"/>
    <w:rsid w:val="001D3C9B"/>
    <w:rsid w:val="00294F1D"/>
    <w:rsid w:val="002E2652"/>
    <w:rsid w:val="002E5C46"/>
    <w:rsid w:val="0031592F"/>
    <w:rsid w:val="003E720B"/>
    <w:rsid w:val="004155C2"/>
    <w:rsid w:val="004640AC"/>
    <w:rsid w:val="00505082"/>
    <w:rsid w:val="00570771"/>
    <w:rsid w:val="00581041"/>
    <w:rsid w:val="005D44CA"/>
    <w:rsid w:val="006272EA"/>
    <w:rsid w:val="00647188"/>
    <w:rsid w:val="0066608E"/>
    <w:rsid w:val="00717005"/>
    <w:rsid w:val="0072164C"/>
    <w:rsid w:val="00787B57"/>
    <w:rsid w:val="007A3E6D"/>
    <w:rsid w:val="007E3293"/>
    <w:rsid w:val="008341DB"/>
    <w:rsid w:val="00855B29"/>
    <w:rsid w:val="00867594"/>
    <w:rsid w:val="008D5BC3"/>
    <w:rsid w:val="00977D26"/>
    <w:rsid w:val="00981D76"/>
    <w:rsid w:val="00986499"/>
    <w:rsid w:val="009A58D9"/>
    <w:rsid w:val="009B7825"/>
    <w:rsid w:val="009C59E8"/>
    <w:rsid w:val="009D0557"/>
    <w:rsid w:val="009D575F"/>
    <w:rsid w:val="00A1647B"/>
    <w:rsid w:val="00B24CFB"/>
    <w:rsid w:val="00B46F8C"/>
    <w:rsid w:val="00BF698A"/>
    <w:rsid w:val="00C47C23"/>
    <w:rsid w:val="00C57983"/>
    <w:rsid w:val="00C93568"/>
    <w:rsid w:val="00D4675F"/>
    <w:rsid w:val="00DA2960"/>
    <w:rsid w:val="00DB1F62"/>
    <w:rsid w:val="00DD16A6"/>
    <w:rsid w:val="00DF7126"/>
    <w:rsid w:val="00E74297"/>
    <w:rsid w:val="00F233D3"/>
    <w:rsid w:val="00F34D2A"/>
    <w:rsid w:val="00F44E7A"/>
    <w:rsid w:val="00F97B51"/>
    <w:rsid w:val="00FD7762"/>
    <w:rsid w:val="05BE16E5"/>
    <w:rsid w:val="0B6A7922"/>
    <w:rsid w:val="0E8D06CD"/>
    <w:rsid w:val="17941C3E"/>
    <w:rsid w:val="22386EDE"/>
    <w:rsid w:val="279253E2"/>
    <w:rsid w:val="2ACF474A"/>
    <w:rsid w:val="2D957B68"/>
    <w:rsid w:val="2FBE7769"/>
    <w:rsid w:val="31480D93"/>
    <w:rsid w:val="31651925"/>
    <w:rsid w:val="31E706DB"/>
    <w:rsid w:val="439B1383"/>
    <w:rsid w:val="566029DB"/>
    <w:rsid w:val="61295C18"/>
    <w:rsid w:val="708E6837"/>
    <w:rsid w:val="72661F73"/>
    <w:rsid w:val="779A2FD8"/>
    <w:rsid w:val="7943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rPr>
      <w:rFonts w:ascii="Times New Roman" w:hAnsi="Times New Roman" w:eastAsia="Calibri" w:cs="Times New Roman"/>
      <w:sz w:val="22"/>
      <w:szCs w:val="22"/>
      <w:lang w:val="hr-H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2700</Words>
  <Characters>17118</Characters>
  <Lines>305</Lines>
  <Paragraphs>141</Paragraphs>
  <TotalTime>0</TotalTime>
  <ScaleCrop>false</ScaleCrop>
  <LinksUpToDate>false</LinksUpToDate>
  <CharactersWithSpaces>19677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2023-12-20T13:20:00Z</dcterms:created>
  <dc:creator>MV media</dc:creator>
  <cp:lastModifiedBy>Kristian Vukić</cp:lastModifiedBy>
  <cp:lastPrinted>2020-04-21T06:41:00Z</cp:lastPrinted>
  <dcterms:modified xsi:type="dcterms:W3CDTF">2024-01-03T12:36:37Z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153DBC9DF93340C1A95E8D4C0EE3150E_13</vt:lpwstr>
  </property>
  <property fmtid="{D5CDD505-2E9C-101B-9397-08002B2CF9AE}" pid="4" name="GrammarlyDocumentId">
    <vt:lpwstr>ed99aa12487c259f7a2d3b28c185bfe13f6cdacdbdda2f2f46027c7e5a633c28</vt:lpwstr>
  </property>
</Properties>
</file>