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3" w:rsidRDefault="002E2D53" w:rsidP="002E2D53">
      <w:pPr>
        <w:pStyle w:val="Bezproreda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 xml:space="preserve">ZVJEŠTAJ O ZADUŽENJU </w:t>
      </w:r>
    </w:p>
    <w:p w:rsidR="009D3903" w:rsidRPr="0056703E" w:rsidRDefault="009D3903" w:rsidP="002E2D53">
      <w:pPr>
        <w:pStyle w:val="Bezproreda"/>
        <w:rPr>
          <w:i w:val="0"/>
        </w:rPr>
      </w:pPr>
    </w:p>
    <w:p w:rsidR="002E2D53" w:rsidRPr="007E22B5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Zaduživanje  jedinica lokalne i područne (regionalne) samouprave uređuju  odredbe članaka 86. do 92. u okviru razdjela VII. Zakona o proračunu („Narodne novine,“ broj 87/08, 136/12), te odredbe članka 11. Odluke o izvršavanju proračuna Općine Posedarje za  201</w:t>
      </w:r>
      <w:r w:rsidR="008D4676">
        <w:rPr>
          <w:i w:val="0"/>
        </w:rPr>
        <w:t>9</w:t>
      </w:r>
      <w:r w:rsidRPr="007E22B5">
        <w:rPr>
          <w:i w:val="0"/>
        </w:rPr>
        <w:t>. godinu („Službeni glasnik Općine Posedarje “, broj  3).</w:t>
      </w:r>
    </w:p>
    <w:p w:rsidR="002E2D53" w:rsidRDefault="008D4676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U 2019.g. Općina Posedarje se dugoročno zadužila za Financijski </w:t>
      </w:r>
      <w:proofErr w:type="spellStart"/>
      <w:r>
        <w:rPr>
          <w:i w:val="0"/>
        </w:rPr>
        <w:t>leasin</w:t>
      </w:r>
      <w:r w:rsidR="009D3903">
        <w:rPr>
          <w:i w:val="0"/>
        </w:rPr>
        <w:t>g</w:t>
      </w:r>
      <w:proofErr w:type="spellEnd"/>
      <w:r w:rsidR="009D3903">
        <w:rPr>
          <w:i w:val="0"/>
        </w:rPr>
        <w:t xml:space="preserve">  po</w:t>
      </w:r>
      <w:r>
        <w:rPr>
          <w:i w:val="0"/>
        </w:rPr>
        <w:t xml:space="preserve"> Ugovoru br. 37586 na iznos od </w:t>
      </w:r>
      <w:r w:rsidR="00226FD3">
        <w:rPr>
          <w:i w:val="0"/>
        </w:rPr>
        <w:t>13.179,25</w:t>
      </w:r>
      <w:r>
        <w:rPr>
          <w:i w:val="0"/>
        </w:rPr>
        <w:t xml:space="preserve"> EUR    i za Financijski </w:t>
      </w:r>
      <w:proofErr w:type="spellStart"/>
      <w:r>
        <w:rPr>
          <w:i w:val="0"/>
        </w:rPr>
        <w:t>leasing</w:t>
      </w:r>
      <w:proofErr w:type="spellEnd"/>
      <w:r>
        <w:rPr>
          <w:i w:val="0"/>
        </w:rPr>
        <w:t xml:space="preserve"> po Ugovoru br. 37584 na iznos od </w:t>
      </w:r>
      <w:r w:rsidR="00226FD3">
        <w:rPr>
          <w:i w:val="0"/>
        </w:rPr>
        <w:t>36.242,94</w:t>
      </w:r>
      <w:r>
        <w:rPr>
          <w:i w:val="0"/>
        </w:rPr>
        <w:t xml:space="preserve"> EUR.</w:t>
      </w:r>
      <w:r w:rsidR="00226FD3">
        <w:rPr>
          <w:i w:val="0"/>
        </w:rPr>
        <w:t xml:space="preserve">  Financijski </w:t>
      </w:r>
      <w:proofErr w:type="spellStart"/>
      <w:r w:rsidR="00226FD3">
        <w:rPr>
          <w:i w:val="0"/>
        </w:rPr>
        <w:t>leasing</w:t>
      </w:r>
      <w:proofErr w:type="spellEnd"/>
      <w:r w:rsidR="00226FD3">
        <w:rPr>
          <w:i w:val="0"/>
        </w:rPr>
        <w:t xml:space="preserve">  po oba ugovora sklopljen je na rok otplate od 5 godina . Mjesečna rata po ugovoru br. 37586 iznosi 247,72 EUR  a mjesečna rata po ugovoru br. 37584 iznosi 685,08 EUR.</w:t>
      </w:r>
    </w:p>
    <w:p w:rsidR="009D3903" w:rsidRDefault="009D3903" w:rsidP="007E22B5">
      <w:pPr>
        <w:pStyle w:val="Bezproreda"/>
        <w:jc w:val="both"/>
        <w:rPr>
          <w:i w:val="0"/>
        </w:rPr>
      </w:pPr>
    </w:p>
    <w:p w:rsidR="009D3903" w:rsidRPr="00E137C6" w:rsidRDefault="009D3903" w:rsidP="007E22B5">
      <w:pPr>
        <w:pStyle w:val="Bezproreda"/>
        <w:jc w:val="both"/>
        <w:rPr>
          <w:b/>
        </w:rPr>
      </w:pPr>
      <w:r w:rsidRPr="00E137C6">
        <w:rPr>
          <w:b/>
        </w:rPr>
        <w:t>Pregled plaćanja po kreditu do 31.12.2019.</w:t>
      </w:r>
    </w:p>
    <w:p w:rsidR="009D3903" w:rsidRDefault="009D3903" w:rsidP="007E22B5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9D3903" w:rsidTr="00E137C6">
        <w:tc>
          <w:tcPr>
            <w:tcW w:w="1413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Dospjelo na naplatu glavnica do 31.12.2019.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Dospjelo na naplatu kamata do 31.12.2019.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31.12.2019.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Plaćeno kamata do 31.12.2019.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9D3903" w:rsidRDefault="00C35885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7.128,42</w:t>
            </w:r>
          </w:p>
        </w:tc>
        <w:tc>
          <w:tcPr>
            <w:tcW w:w="1295" w:type="dxa"/>
          </w:tcPr>
          <w:p w:rsidR="009D3903" w:rsidRDefault="00E137C6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2.055,52</w:t>
            </w:r>
          </w:p>
        </w:tc>
        <w:tc>
          <w:tcPr>
            <w:tcW w:w="1295" w:type="dxa"/>
          </w:tcPr>
          <w:p w:rsidR="009D3903" w:rsidRDefault="00C35885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7.128,42</w:t>
            </w:r>
          </w:p>
        </w:tc>
        <w:tc>
          <w:tcPr>
            <w:tcW w:w="1295" w:type="dxa"/>
          </w:tcPr>
          <w:p w:rsidR="009D3903" w:rsidRDefault="00E137C6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2.055.52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9D3903" w:rsidRDefault="00C35885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19.746,88</w:t>
            </w:r>
          </w:p>
        </w:tc>
        <w:tc>
          <w:tcPr>
            <w:tcW w:w="1295" w:type="dxa"/>
          </w:tcPr>
          <w:p w:rsidR="009D3903" w:rsidRDefault="00E137C6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5.651,69</w:t>
            </w:r>
          </w:p>
        </w:tc>
        <w:tc>
          <w:tcPr>
            <w:tcW w:w="1295" w:type="dxa"/>
          </w:tcPr>
          <w:p w:rsidR="009D3903" w:rsidRDefault="00C35885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19.746,88</w:t>
            </w:r>
          </w:p>
        </w:tc>
        <w:tc>
          <w:tcPr>
            <w:tcW w:w="1295" w:type="dxa"/>
          </w:tcPr>
          <w:p w:rsidR="009D3903" w:rsidRDefault="00E137C6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5.651,69</w:t>
            </w:r>
          </w:p>
        </w:tc>
      </w:tr>
    </w:tbl>
    <w:p w:rsidR="009D3903" w:rsidRDefault="009D3903" w:rsidP="007E22B5">
      <w:pPr>
        <w:pStyle w:val="Bezproreda"/>
        <w:jc w:val="both"/>
        <w:rPr>
          <w:i w:val="0"/>
        </w:rPr>
      </w:pPr>
    </w:p>
    <w:p w:rsidR="00E137C6" w:rsidRDefault="00E137C6" w:rsidP="007E22B5">
      <w:pPr>
        <w:pStyle w:val="Bezproreda"/>
        <w:jc w:val="both"/>
        <w:rPr>
          <w:b/>
          <w:i w:val="0"/>
        </w:rPr>
      </w:pPr>
      <w:r w:rsidRPr="00E137C6">
        <w:rPr>
          <w:b/>
          <w:i w:val="0"/>
        </w:rPr>
        <w:t>4. IZVJEŠTAJ O IZDANIM I DANIM JAMSTVIMA</w:t>
      </w:r>
    </w:p>
    <w:p w:rsidR="00E137C6" w:rsidRPr="00E137C6" w:rsidRDefault="00E137C6" w:rsidP="007E22B5">
      <w:pPr>
        <w:pStyle w:val="Bezproreda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26FD3" w:rsidRPr="007E22B5" w:rsidRDefault="00226FD3" w:rsidP="007E22B5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rPr>
          <w:i w:val="0"/>
        </w:rPr>
      </w:pPr>
    </w:p>
    <w:p w:rsidR="002E2D53" w:rsidRDefault="00E137C6" w:rsidP="002E2D53">
      <w:pPr>
        <w:pStyle w:val="Bezproreda"/>
        <w:rPr>
          <w:b/>
          <w:i w:val="0"/>
        </w:rPr>
      </w:pPr>
      <w:r>
        <w:rPr>
          <w:b/>
          <w:i w:val="0"/>
        </w:rPr>
        <w:t>5</w:t>
      </w:r>
      <w:r w:rsidR="002E2D53" w:rsidRPr="002E2D53">
        <w:rPr>
          <w:b/>
          <w:i w:val="0"/>
        </w:rPr>
        <w:t>. IZVJEŠTAJ O KORIŠTENJU PRORAČUNSKE ZALIHE</w:t>
      </w:r>
    </w:p>
    <w:p w:rsidR="002E2D53" w:rsidRDefault="002E2D53" w:rsidP="002E2D53">
      <w:pPr>
        <w:pStyle w:val="Bezproreda"/>
        <w:rPr>
          <w:b/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Pr="002E2D53" w:rsidRDefault="00E137C6" w:rsidP="002E2D53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bookmarkStart w:id="0" w:name="_GoBack"/>
      <w:bookmarkEnd w:id="0"/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B2B37" w:rsidRPr="00944E56" w:rsidRDefault="00EB2B37" w:rsidP="00EB2B37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EB2B37" w:rsidRPr="00944E56" w:rsidRDefault="00EB2B37" w:rsidP="00EA0B08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201</w:t>
      </w:r>
      <w:r w:rsidR="00856721">
        <w:rPr>
          <w:i/>
          <w:szCs w:val="24"/>
        </w:rPr>
        <w:t>8</w:t>
      </w:r>
      <w:r w:rsidRPr="00944E56">
        <w:rPr>
          <w:i/>
          <w:szCs w:val="24"/>
        </w:rPr>
        <w:t>. i  201</w:t>
      </w:r>
      <w:r w:rsidR="00856721">
        <w:rPr>
          <w:i/>
          <w:szCs w:val="24"/>
        </w:rPr>
        <w:t>9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8A64A1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85672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856721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85672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 w:rsidR="0085672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85672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 w:rsidR="0085672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E374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E3748" w:rsidRPr="007C5DF9" w:rsidRDefault="00EB2B37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945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856721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8.323.791,32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856721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9.671.177,00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856721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8.857.783,76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856721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106,42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48" w:rsidRPr="007C5DF9" w:rsidRDefault="00856721" w:rsidP="005E37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91,59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916.290,72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433.965,00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571.980,84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62,42%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131,80%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318.142,49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713.903,00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641.158,47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201,53%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641C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89,81%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admin.pristojbi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2.933.510,68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3.561.850,00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3.063.799,39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104,44%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793C8E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86,02%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proizvoda,robe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70.864,88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793C8E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59,05%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914.266,38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29.997,23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3,28%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99,99%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146.018,01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749.100,00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793C8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  <w:r w:rsidR="004C76D8">
              <w:rPr>
                <w:rFonts w:ascii="Arial" w:hAnsi="Arial" w:cs="Arial"/>
                <w:sz w:val="18"/>
                <w:szCs w:val="18"/>
              </w:rPr>
              <w:t>.038,50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127,41%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24,83%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nefin.imov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207.900,00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3,80%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13.552.019,60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15.487.895,00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13.429.523,07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99,10%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4C76D8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86,71%</w:t>
            </w:r>
          </w:p>
        </w:tc>
      </w:tr>
    </w:tbl>
    <w:p w:rsidR="009A6903" w:rsidRDefault="009A6903" w:rsidP="002E2D53">
      <w:pPr>
        <w:pStyle w:val="Bezproreda"/>
        <w:jc w:val="both"/>
        <w:rPr>
          <w:i w:val="0"/>
        </w:rPr>
      </w:pPr>
    </w:p>
    <w:p w:rsidR="00EB2B37" w:rsidRDefault="00EB2B37" w:rsidP="004A406A">
      <w:pPr>
        <w:pStyle w:val="Bezproreda"/>
        <w:jc w:val="both"/>
        <w:rPr>
          <w:b/>
          <w:i w:val="0"/>
        </w:rPr>
      </w:pPr>
    </w:p>
    <w:p w:rsidR="009A6903" w:rsidRPr="009A6903" w:rsidRDefault="009A6903" w:rsidP="007E22B5">
      <w:pPr>
        <w:pStyle w:val="Bezproreda"/>
        <w:jc w:val="both"/>
        <w:rPr>
          <w:b/>
          <w:i w:val="0"/>
        </w:rPr>
      </w:pPr>
      <w:r w:rsidRPr="009A6903">
        <w:rPr>
          <w:b/>
          <w:i w:val="0"/>
        </w:rPr>
        <w:t>5.1. Prihodi i primici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31.prosinca 201</w:t>
      </w:r>
      <w:r w:rsidR="004C76D8">
        <w:rPr>
          <w:i w:val="0"/>
        </w:rPr>
        <w:t>9</w:t>
      </w:r>
      <w:r w:rsidRPr="007E22B5">
        <w:rPr>
          <w:i w:val="0"/>
        </w:rPr>
        <w:t xml:space="preserve">.g. ostvareni su u iznosu od </w:t>
      </w:r>
      <w:r w:rsidR="004C76D8">
        <w:rPr>
          <w:i w:val="0"/>
        </w:rPr>
        <w:t>13.429.523,07</w:t>
      </w:r>
      <w:r w:rsidRPr="007E22B5">
        <w:rPr>
          <w:i w:val="0"/>
        </w:rPr>
        <w:t xml:space="preserve"> kune. Prihodi poslovanja ostvareni su u iznosu od </w:t>
      </w:r>
      <w:r w:rsidR="004C76D8">
        <w:rPr>
          <w:i w:val="0"/>
        </w:rPr>
        <w:t>13.235.584,57</w:t>
      </w:r>
      <w:r w:rsidRPr="007E22B5">
        <w:rPr>
          <w:i w:val="0"/>
        </w:rPr>
        <w:t xml:space="preserve"> kune a prihodi od prodaje nefinancijske imovine ostvareni su u iznosu od </w:t>
      </w:r>
      <w:r w:rsidR="00C04425">
        <w:rPr>
          <w:i w:val="0"/>
        </w:rPr>
        <w:t>193.938,50</w:t>
      </w:r>
      <w:r w:rsidRPr="007E22B5">
        <w:rPr>
          <w:i w:val="0"/>
        </w:rPr>
        <w:t xml:space="preserve"> kuna.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 w:rsidR="00387E58">
        <w:rPr>
          <w:rFonts w:ascii="Calibri" w:eastAsia="Times New Roman" w:hAnsi="Calibri" w:cs="Times New Roman"/>
          <w:i w:val="0"/>
        </w:rPr>
        <w:t xml:space="preserve"> </w:t>
      </w:r>
      <w:r w:rsidRPr="007E22B5">
        <w:rPr>
          <w:rFonts w:ascii="Calibri" w:eastAsia="Times New Roman" w:hAnsi="Calibri" w:cs="Times New Roman"/>
          <w:i w:val="0"/>
        </w:rPr>
        <w:t xml:space="preserve"> u iznosu od </w:t>
      </w:r>
      <w:r w:rsidR="00C04425">
        <w:rPr>
          <w:rFonts w:ascii="Calibri" w:eastAsia="Times New Roman" w:hAnsi="Calibri" w:cs="Times New Roman"/>
          <w:i w:val="0"/>
        </w:rPr>
        <w:t>13.235.584,57</w:t>
      </w:r>
      <w:r w:rsidRPr="007E22B5">
        <w:rPr>
          <w:rFonts w:ascii="Calibri" w:eastAsia="Times New Roman" w:hAnsi="Calibri" w:cs="Times New Roman"/>
          <w:i w:val="0"/>
        </w:rPr>
        <w:t xml:space="preserve"> kuna namjenski prihodi Dječjeg vrtića Cvrčak Posedarje iznose </w:t>
      </w:r>
      <w:r w:rsidR="00C04425">
        <w:rPr>
          <w:rFonts w:ascii="Calibri" w:eastAsia="Times New Roman" w:hAnsi="Calibri" w:cs="Times New Roman"/>
          <w:i w:val="0"/>
        </w:rPr>
        <w:t>546.785,13</w:t>
      </w:r>
      <w:r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9A6903" w:rsidRPr="007E22B5" w:rsidRDefault="009A6903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5.1.1. Prihodi poslovanja</w:t>
      </w:r>
      <w:r w:rsidR="00D3121F" w:rsidRPr="007E22B5">
        <w:rPr>
          <w:b/>
          <w:i w:val="0"/>
        </w:rPr>
        <w:t xml:space="preserve"> (grupa 61)</w:t>
      </w:r>
    </w:p>
    <w:p w:rsid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Prihodi poslovanja ostvareni su u iznosu od </w:t>
      </w:r>
      <w:r w:rsidR="00C04425">
        <w:rPr>
          <w:i w:val="0"/>
        </w:rPr>
        <w:t>13.235.584,57</w:t>
      </w:r>
      <w:r w:rsidRPr="007E22B5">
        <w:rPr>
          <w:i w:val="0"/>
        </w:rPr>
        <w:t xml:space="preserve"> kune što je </w:t>
      </w:r>
      <w:r w:rsidR="003B726B">
        <w:rPr>
          <w:i w:val="0"/>
        </w:rPr>
        <w:t>9</w:t>
      </w:r>
      <w:r w:rsidR="00C04425">
        <w:rPr>
          <w:i w:val="0"/>
        </w:rPr>
        <w:t>1,09</w:t>
      </w:r>
      <w:r w:rsidRPr="007E22B5">
        <w:rPr>
          <w:i w:val="0"/>
        </w:rPr>
        <w:t xml:space="preserve">% </w:t>
      </w:r>
      <w:r w:rsidR="004A406A" w:rsidRPr="007E22B5">
        <w:rPr>
          <w:i w:val="0"/>
        </w:rPr>
        <w:t>u odnosu na planirani iznos 201</w:t>
      </w:r>
      <w:r w:rsidR="00C04425">
        <w:rPr>
          <w:i w:val="0"/>
        </w:rPr>
        <w:t>9</w:t>
      </w:r>
      <w:r w:rsidR="004A406A" w:rsidRPr="007E22B5">
        <w:rPr>
          <w:i w:val="0"/>
        </w:rPr>
        <w:t xml:space="preserve">.g. od </w:t>
      </w:r>
      <w:r w:rsidR="00C04425">
        <w:rPr>
          <w:i w:val="0"/>
        </w:rPr>
        <w:t>14.530.895,00</w:t>
      </w:r>
      <w:r w:rsidR="004A406A" w:rsidRPr="007E22B5">
        <w:rPr>
          <w:i w:val="0"/>
        </w:rPr>
        <w:t xml:space="preserve"> kune. Najveći udio u prihodima poslovanja  ostvaruju prihodi od poreza  koji su ostvareni u iznosu od </w:t>
      </w:r>
      <w:r w:rsidR="00C04425">
        <w:rPr>
          <w:i w:val="0"/>
        </w:rPr>
        <w:t>8.857.783,76</w:t>
      </w:r>
      <w:r w:rsidR="004A406A" w:rsidRPr="007E22B5">
        <w:rPr>
          <w:i w:val="0"/>
        </w:rPr>
        <w:t xml:space="preserve"> kuna što je </w:t>
      </w:r>
      <w:r w:rsidR="00040EB1">
        <w:rPr>
          <w:i w:val="0"/>
        </w:rPr>
        <w:t>9</w:t>
      </w:r>
      <w:r w:rsidR="00C04425">
        <w:rPr>
          <w:i w:val="0"/>
        </w:rPr>
        <w:t>1,59</w:t>
      </w:r>
      <w:r w:rsidR="004A406A" w:rsidRPr="007E22B5">
        <w:rPr>
          <w:i w:val="0"/>
        </w:rPr>
        <w:t xml:space="preserve">% u odnosu na planiranih . </w:t>
      </w:r>
    </w:p>
    <w:p w:rsidR="00C04425" w:rsidRDefault="00C04425" w:rsidP="007E22B5">
      <w:pPr>
        <w:pStyle w:val="Bezproreda"/>
        <w:jc w:val="both"/>
        <w:rPr>
          <w:b/>
          <w:i w:val="0"/>
        </w:rPr>
      </w:pPr>
    </w:p>
    <w:p w:rsidR="007366CC" w:rsidRDefault="004A406A" w:rsidP="007366CC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7E22B5">
        <w:rPr>
          <w:b/>
        </w:rPr>
        <w:t>Pomoći iz inozemstva i od subjekata unutar opće države</w:t>
      </w:r>
      <w:r w:rsidR="00D3121F" w:rsidRPr="007E22B5">
        <w:rPr>
          <w:b/>
        </w:rPr>
        <w:t xml:space="preserve"> (grupa 63)</w:t>
      </w:r>
      <w:r w:rsidRPr="007E22B5">
        <w:rPr>
          <w:b/>
        </w:rPr>
        <w:t xml:space="preserve"> </w:t>
      </w:r>
      <w:r w:rsidRPr="007E22B5">
        <w:t xml:space="preserve">ostvarene su u iznosu od </w:t>
      </w:r>
      <w:r w:rsidR="00C04425">
        <w:t>571.980,84</w:t>
      </w:r>
      <w:r w:rsidRPr="007E22B5">
        <w:t xml:space="preserve"> kune od planiranih </w:t>
      </w:r>
      <w:r w:rsidR="00C04425">
        <w:t>433.965,00</w:t>
      </w:r>
      <w:r w:rsidRPr="007E22B5">
        <w:t xml:space="preserve"> kuna što je</w:t>
      </w:r>
      <w:r w:rsidR="00C04425">
        <w:t>131,80</w:t>
      </w:r>
      <w:r w:rsidR="007366CC" w:rsidRPr="00387E58">
        <w:t xml:space="preserve">% </w:t>
      </w:r>
      <w:r w:rsidR="00387E58">
        <w:t>o</w:t>
      </w:r>
      <w:r w:rsidR="007366CC" w:rsidRPr="00387E58">
        <w:t>d plana.</w:t>
      </w:r>
      <w:r w:rsidR="00A509B4" w:rsidRPr="007E22B5">
        <w:t xml:space="preserve"> </w:t>
      </w:r>
      <w:r w:rsidR="006E2420">
        <w:t xml:space="preserve">Tekuće pomoći proračunu iz drugih proračuna ostvareni su u iznosu od 11.000,00 kuna . Pomoć je uplaćena od Ministarstva hrvatskih branitelja za sufinanciranje troškova oko prijevoza  mještana na obilježavanja obljetnice stradavanja Vukovara. Kapitalne pomoći iz proračuna uplaćene su u iznosu od 409.684,86 kuna a čine ih: 143.965,00 uplaćena od Ministarstva za demografiju, obitelj, mlade i socijalnu politiku za obnovu zgrade dječjeg vrtića, 120.000,00  od Ministarstva graditeljstva za kupnju traktora i </w:t>
      </w:r>
      <w:proofErr w:type="spellStart"/>
      <w:r w:rsidR="006E2420">
        <w:t>malčera</w:t>
      </w:r>
      <w:proofErr w:type="spellEnd"/>
      <w:r w:rsidR="006E2420">
        <w:t xml:space="preserve">, te </w:t>
      </w:r>
      <w:r w:rsidR="00546044">
        <w:t xml:space="preserve">125.719,86 kuna od Ministarstva regionalnog razvoja i </w:t>
      </w:r>
      <w:proofErr w:type="spellStart"/>
      <w:r w:rsidR="00546044">
        <w:t>i</w:t>
      </w:r>
      <w:proofErr w:type="spellEnd"/>
      <w:r w:rsidR="00546044">
        <w:t xml:space="preserve"> fondova Europske unije za gradnju nogostupa.</w:t>
      </w:r>
    </w:p>
    <w:p w:rsidR="009F2C5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546044">
        <w:rPr>
          <w:i w:val="0"/>
        </w:rPr>
        <w:t>151.295,98</w:t>
      </w:r>
      <w:r w:rsidRPr="007E22B5">
        <w:rPr>
          <w:i w:val="0"/>
        </w:rPr>
        <w:t xml:space="preserve"> proračunskom korisniku Dječjem vrtiću „Cvrčak Posedarje“ iz proračuna Općine Jasenice za djecu s područja Općine Jasenice koja pohađaju navedeni vrtić.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3121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 xml:space="preserve">ostvareni su u iznosu od </w:t>
      </w:r>
      <w:r w:rsidR="00546044">
        <w:rPr>
          <w:i w:val="0"/>
        </w:rPr>
        <w:t>641.158,47</w:t>
      </w:r>
      <w:r w:rsidR="00D3121F" w:rsidRPr="007E22B5">
        <w:rPr>
          <w:i w:val="0"/>
        </w:rPr>
        <w:t xml:space="preserve"> kuna što je</w:t>
      </w:r>
      <w:r w:rsidR="00546044">
        <w:rPr>
          <w:i w:val="0"/>
        </w:rPr>
        <w:t xml:space="preserve"> 89,81</w:t>
      </w:r>
      <w:r w:rsidR="00D3121F" w:rsidRPr="007E22B5">
        <w:rPr>
          <w:i w:val="0"/>
        </w:rPr>
        <w:t xml:space="preserve">% od planiranih </w:t>
      </w:r>
      <w:r w:rsidR="00546044">
        <w:rPr>
          <w:i w:val="0"/>
        </w:rPr>
        <w:t>713.903,00</w:t>
      </w:r>
      <w:r w:rsidR="00D3121F" w:rsidRPr="007E22B5">
        <w:rPr>
          <w:i w:val="0"/>
        </w:rPr>
        <w:t xml:space="preserve"> kune. Te prihode čine prihodi od financijske imovine ostvareni u iznosu od </w:t>
      </w:r>
      <w:r w:rsidR="00546044">
        <w:rPr>
          <w:i w:val="0"/>
        </w:rPr>
        <w:t>18.369,25</w:t>
      </w:r>
      <w:r w:rsidR="00D3121F" w:rsidRPr="007E22B5">
        <w:rPr>
          <w:i w:val="0"/>
        </w:rPr>
        <w:t xml:space="preserve"> kuna a odnose se na prihode od depozita po viđenju</w:t>
      </w:r>
      <w:r w:rsidR="008C497E">
        <w:rPr>
          <w:i w:val="0"/>
        </w:rPr>
        <w:t xml:space="preserve">, te prihode od zateznih kamata ostvarenih u iznosu od </w:t>
      </w:r>
      <w:r w:rsidR="00546044">
        <w:rPr>
          <w:i w:val="0"/>
        </w:rPr>
        <w:t>18.364,42</w:t>
      </w:r>
      <w:r w:rsidR="008C497E">
        <w:rPr>
          <w:i w:val="0"/>
        </w:rPr>
        <w:t xml:space="preserve"> kune. Kako se 201</w:t>
      </w:r>
      <w:r w:rsidR="00546044">
        <w:rPr>
          <w:i w:val="0"/>
        </w:rPr>
        <w:t>9</w:t>
      </w:r>
      <w:r w:rsidR="008C497E">
        <w:rPr>
          <w:i w:val="0"/>
        </w:rPr>
        <w:t xml:space="preserve">.g. </w:t>
      </w:r>
      <w:r w:rsidR="00546044">
        <w:rPr>
          <w:i w:val="0"/>
        </w:rPr>
        <w:t>nastavilo s procesom prisilne</w:t>
      </w:r>
      <w:r w:rsidR="008C497E">
        <w:rPr>
          <w:i w:val="0"/>
        </w:rPr>
        <w:t xml:space="preserve"> naplate potraživanja tako su ostvareni i prihodi od zateznih kamata. P</w:t>
      </w:r>
      <w:r w:rsidR="00D3121F" w:rsidRPr="007E22B5">
        <w:rPr>
          <w:i w:val="0"/>
        </w:rPr>
        <w:t xml:space="preserve">rihodi od nefinancijske imovine ostvareni u iznosu od </w:t>
      </w:r>
      <w:r w:rsidR="00546044">
        <w:rPr>
          <w:i w:val="0"/>
        </w:rPr>
        <w:t>622.789,22</w:t>
      </w:r>
      <w:r w:rsidR="00D3121F" w:rsidRPr="007E22B5">
        <w:rPr>
          <w:i w:val="0"/>
        </w:rPr>
        <w:t xml:space="preserve"> kuna što je </w:t>
      </w:r>
      <w:r w:rsidR="00546044">
        <w:rPr>
          <w:i w:val="0"/>
        </w:rPr>
        <w:t>89,24</w:t>
      </w:r>
      <w:r w:rsidR="00D3121F" w:rsidRPr="007E22B5">
        <w:rPr>
          <w:i w:val="0"/>
        </w:rPr>
        <w:t xml:space="preserve">% u odnosu na planiranih </w:t>
      </w:r>
      <w:r w:rsidR="00546044">
        <w:rPr>
          <w:i w:val="0"/>
        </w:rPr>
        <w:t>697.900,00</w:t>
      </w:r>
      <w:r w:rsidR="00D3121F" w:rsidRPr="007E22B5">
        <w:rPr>
          <w:i w:val="0"/>
        </w:rPr>
        <w:t xml:space="preserve"> kuna. Te prihode čine</w:t>
      </w:r>
      <w:r w:rsidR="00D76212" w:rsidRPr="007E22B5">
        <w:rPr>
          <w:i w:val="0"/>
        </w:rPr>
        <w:t xml:space="preserve"> </w:t>
      </w:r>
      <w:r w:rsidR="00D3121F" w:rsidRPr="007E22B5">
        <w:rPr>
          <w:i w:val="0"/>
        </w:rPr>
        <w:t xml:space="preserve">prihodi od naknada za koncesije ostvareni u iznosu od </w:t>
      </w:r>
      <w:r w:rsidR="00546044">
        <w:rPr>
          <w:i w:val="0"/>
        </w:rPr>
        <w:t>250.700,00</w:t>
      </w:r>
      <w:r w:rsidR="008C497E">
        <w:rPr>
          <w:i w:val="0"/>
        </w:rPr>
        <w:t xml:space="preserve"> k</w:t>
      </w:r>
      <w:r w:rsidR="00D3121F" w:rsidRPr="007E22B5">
        <w:rPr>
          <w:i w:val="0"/>
        </w:rPr>
        <w:t xml:space="preserve">una, prihodi od zakupa i iznajmljivanja imovine ostvarene u iznosu </w:t>
      </w:r>
      <w:r w:rsidR="00D3121F" w:rsidRPr="007E22B5">
        <w:rPr>
          <w:i w:val="0"/>
        </w:rPr>
        <w:lastRenderedPageBreak/>
        <w:t xml:space="preserve">od </w:t>
      </w:r>
      <w:r w:rsidR="00546044">
        <w:rPr>
          <w:i w:val="0"/>
        </w:rPr>
        <w:t>326.784,84</w:t>
      </w:r>
      <w:r w:rsidR="00D3121F" w:rsidRPr="007E22B5">
        <w:rPr>
          <w:i w:val="0"/>
        </w:rPr>
        <w:t xml:space="preserve"> kune</w:t>
      </w:r>
      <w:r w:rsidR="00D76212" w:rsidRPr="007E22B5">
        <w:rPr>
          <w:i w:val="0"/>
        </w:rPr>
        <w:t xml:space="preserve">, naknada za korištenje nefinancijske imovine u iznosu od </w:t>
      </w:r>
      <w:r w:rsidR="00546044">
        <w:rPr>
          <w:i w:val="0"/>
        </w:rPr>
        <w:t>40,34</w:t>
      </w:r>
      <w:r w:rsidR="00D76212" w:rsidRPr="007E22B5">
        <w:rPr>
          <w:i w:val="0"/>
        </w:rPr>
        <w:t xml:space="preserve"> kune te prihodi od nefinancijske imovine u iznosu od </w:t>
      </w:r>
      <w:r w:rsidR="00546044">
        <w:rPr>
          <w:i w:val="0"/>
        </w:rPr>
        <w:t>45.264,04</w:t>
      </w:r>
      <w:r w:rsidR="00D76212"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76212" w:rsidRPr="007E22B5" w:rsidRDefault="00590900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546044">
        <w:rPr>
          <w:i w:val="0"/>
        </w:rPr>
        <w:t>3.063.799,39</w:t>
      </w:r>
      <w:r w:rsidRPr="007E22B5">
        <w:rPr>
          <w:i w:val="0"/>
        </w:rPr>
        <w:t xml:space="preserve"> kune što je </w:t>
      </w:r>
      <w:r w:rsidR="00546044">
        <w:rPr>
          <w:i w:val="0"/>
        </w:rPr>
        <w:t>86,02</w:t>
      </w:r>
      <w:r w:rsidRPr="007E22B5">
        <w:rPr>
          <w:i w:val="0"/>
        </w:rPr>
        <w:t xml:space="preserve">% od planiranih </w:t>
      </w:r>
      <w:r w:rsidR="00546044">
        <w:rPr>
          <w:i w:val="0"/>
        </w:rPr>
        <w:t>3.561.850,00</w:t>
      </w:r>
      <w:r w:rsidRPr="007E22B5">
        <w:rPr>
          <w:i w:val="0"/>
        </w:rPr>
        <w:t xml:space="preserve"> kuna. Navedene prihode čine upravne i administrativne pristojbe u iznosu od </w:t>
      </w:r>
      <w:r w:rsidR="00546044">
        <w:rPr>
          <w:i w:val="0"/>
        </w:rPr>
        <w:t>115.684,70</w:t>
      </w:r>
      <w:r w:rsidRPr="007E22B5">
        <w:rPr>
          <w:i w:val="0"/>
        </w:rPr>
        <w:t xml:space="preserve"> kuna, prihodi po posebnim propisima u iznosu od </w:t>
      </w:r>
      <w:r w:rsidR="00DD6708">
        <w:rPr>
          <w:i w:val="0"/>
        </w:rPr>
        <w:t>791.497,38</w:t>
      </w:r>
      <w:r w:rsidRPr="007E22B5">
        <w:rPr>
          <w:i w:val="0"/>
        </w:rPr>
        <w:t xml:space="preserve"> kuna. Te prihode čine prihodi vodnog gospodarstva (vodni doprinos) ostvaren u iznosu od </w:t>
      </w:r>
      <w:r w:rsidR="00DD6708">
        <w:rPr>
          <w:i w:val="0"/>
        </w:rPr>
        <w:t xml:space="preserve">14.554,90 kune </w:t>
      </w:r>
      <w:r w:rsidRPr="007E22B5">
        <w:rPr>
          <w:i w:val="0"/>
        </w:rPr>
        <w:t xml:space="preserve"> te ostali nespomenuti prihodi koji su ostvareni u iznosu od </w:t>
      </w:r>
      <w:r w:rsidR="00DD6708">
        <w:rPr>
          <w:i w:val="0"/>
        </w:rPr>
        <w:t>776.942,48</w:t>
      </w:r>
      <w:r w:rsidRPr="007E22B5">
        <w:rPr>
          <w:i w:val="0"/>
        </w:rPr>
        <w:t xml:space="preserve"> kuna a čine ih prihodi od sufinanciranja mještana za potrošak vode na hidrantima u mjestima </w:t>
      </w:r>
      <w:r w:rsidR="009F2C5F" w:rsidRPr="007E22B5">
        <w:rPr>
          <w:i w:val="0"/>
        </w:rPr>
        <w:t xml:space="preserve">koji nemaju vodovode priključke u iznosu od </w:t>
      </w:r>
      <w:r w:rsidR="00DD6708">
        <w:rPr>
          <w:i w:val="0"/>
        </w:rPr>
        <w:t>381.456,46 kuna</w:t>
      </w:r>
      <w:r w:rsidR="009F2C5F" w:rsidRPr="007E22B5">
        <w:rPr>
          <w:i w:val="0"/>
        </w:rPr>
        <w:t xml:space="preserve"> te sufinanciranje roditelja za boravak djece u Dječjem vrtiću „Cvrčak Posedarje“ u iznosu od </w:t>
      </w:r>
      <w:r w:rsidR="004D5D9E">
        <w:rPr>
          <w:i w:val="0"/>
        </w:rPr>
        <w:t>39</w:t>
      </w:r>
      <w:r w:rsidR="00DD6708">
        <w:rPr>
          <w:i w:val="0"/>
        </w:rPr>
        <w:t>5.486,02</w:t>
      </w:r>
      <w:r w:rsidR="009F2C5F" w:rsidRPr="007E22B5">
        <w:rPr>
          <w:i w:val="0"/>
        </w:rPr>
        <w:t xml:space="preserve"> kuna.</w:t>
      </w:r>
      <w:r w:rsidR="00EB2B37" w:rsidRPr="007E22B5">
        <w:rPr>
          <w:i w:val="0"/>
        </w:rPr>
        <w:t xml:space="preserve"> Komunalni doprinos i naknada ostvareni su u iznosu od </w:t>
      </w:r>
      <w:r w:rsidR="00DD6708">
        <w:rPr>
          <w:i w:val="0"/>
        </w:rPr>
        <w:t>2.156.617,31</w:t>
      </w:r>
      <w:r w:rsidR="00EB2B37" w:rsidRPr="007E22B5">
        <w:rPr>
          <w:i w:val="0"/>
        </w:rPr>
        <w:t xml:space="preserve"> kune što je </w:t>
      </w:r>
      <w:r w:rsidR="00DD6708">
        <w:rPr>
          <w:i w:val="0"/>
        </w:rPr>
        <w:t>87,46</w:t>
      </w:r>
      <w:r w:rsidR="00EB2B37" w:rsidRPr="007E22B5">
        <w:rPr>
          <w:i w:val="0"/>
        </w:rPr>
        <w:t xml:space="preserve">% od planiranih </w:t>
      </w:r>
      <w:r w:rsidR="00DD6708">
        <w:rPr>
          <w:i w:val="0"/>
        </w:rPr>
        <w:t>2.465.750,00Komunalni doprinos ostvaren je u iznosu od 484.192,63 kune a komunalna naknada u iznosu od 1.672.424,68 kuna.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387E58" w:rsidRDefault="00EB2B37" w:rsidP="00DD6708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 xml:space="preserve">ostvareni su u iznosu od </w:t>
      </w:r>
      <w:r w:rsidR="00DD6708">
        <w:t>23.997,23</w:t>
      </w:r>
      <w:r w:rsidR="004D5D9E">
        <w:rPr>
          <w:i/>
        </w:rPr>
        <w:t xml:space="preserve"> </w:t>
      </w:r>
      <w:r w:rsidR="004D5D9E" w:rsidRPr="00387E58">
        <w:t>kuna.</w:t>
      </w:r>
      <w:r w:rsidR="00387E58">
        <w:t xml:space="preserve"> </w:t>
      </w:r>
    </w:p>
    <w:p w:rsidR="00DD6708" w:rsidRDefault="00DD6708" w:rsidP="00DD6708">
      <w:pPr>
        <w:spacing w:after="0" w:line="240" w:lineRule="auto"/>
        <w:jc w:val="both"/>
      </w:pPr>
    </w:p>
    <w:p w:rsidR="00DD6708" w:rsidRPr="002A61EC" w:rsidRDefault="00DD6708" w:rsidP="00DD670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DD6708">
        <w:rPr>
          <w:b/>
        </w:rPr>
        <w:t>Proračunski korisnik Dječji vrtić „Cvrčak Posedarje</w:t>
      </w:r>
      <w:r w:rsidR="002A61EC">
        <w:rPr>
          <w:b/>
        </w:rPr>
        <w:t xml:space="preserve"> </w:t>
      </w:r>
      <w:r w:rsidR="002A61EC">
        <w:t>ostvario je namjenske prihode u iznosu od 546.785,13 kuna. Ti prihodi se odnose na pomoći iz nenadležnog proračuna u iznosu od 151.295,98 kuna, kamate na depozite po viđenju u iznosu od 3,13 kuna te prihodi od sufinanciranja roditelja za boravak djece u vrtiću u iznosu od 395.486,02 kune.</w:t>
      </w:r>
    </w:p>
    <w:p w:rsidR="0044556C" w:rsidRDefault="0044556C" w:rsidP="007E22B5">
      <w:pPr>
        <w:pStyle w:val="Bezproreda"/>
        <w:jc w:val="both"/>
        <w:rPr>
          <w:i w:val="0"/>
        </w:rPr>
      </w:pPr>
    </w:p>
    <w:p w:rsidR="00387E58" w:rsidRDefault="0044556C" w:rsidP="007E22B5">
      <w:pPr>
        <w:pStyle w:val="Bezproreda"/>
        <w:jc w:val="both"/>
        <w:rPr>
          <w:i w:val="0"/>
        </w:rPr>
      </w:pPr>
      <w:r w:rsidRPr="0044556C">
        <w:rPr>
          <w:b/>
          <w:i w:val="0"/>
        </w:rPr>
        <w:t>Prihodi od prodaje nefinancijske imovine (grupa 71</w:t>
      </w:r>
      <w:r>
        <w:rPr>
          <w:i w:val="0"/>
        </w:rPr>
        <w:t xml:space="preserve">) ostvareni su u iznosu od </w:t>
      </w:r>
      <w:r w:rsidR="002A61EC">
        <w:rPr>
          <w:i w:val="0"/>
        </w:rPr>
        <w:t>186.038,50</w:t>
      </w:r>
      <w:r w:rsidR="00387E58">
        <w:rPr>
          <w:i w:val="0"/>
        </w:rPr>
        <w:t>.</w:t>
      </w:r>
      <w:r>
        <w:rPr>
          <w:i w:val="0"/>
        </w:rPr>
        <w:t xml:space="preserve"> Navedeni prihodi odnose se na potraživanje od prodaje poljoprivrednog zemljišta. </w:t>
      </w:r>
    </w:p>
    <w:p w:rsidR="002A61EC" w:rsidRDefault="002A61EC" w:rsidP="007E22B5">
      <w:pPr>
        <w:pStyle w:val="Bezproreda"/>
        <w:jc w:val="both"/>
        <w:rPr>
          <w:i w:val="0"/>
        </w:rPr>
      </w:pPr>
      <w:r w:rsidRPr="002A61EC">
        <w:rPr>
          <w:b/>
          <w:i w:val="0"/>
        </w:rPr>
        <w:t>Prihodi od prodaje proizvedene dugotrajne imovine</w:t>
      </w:r>
      <w:r>
        <w:rPr>
          <w:b/>
          <w:i w:val="0"/>
        </w:rPr>
        <w:t xml:space="preserve"> (grupa 72)</w:t>
      </w:r>
      <w:r>
        <w:rPr>
          <w:i w:val="0"/>
        </w:rPr>
        <w:t xml:space="preserve"> ostvareni su u iznosu od 7.900,00 kuna a odnose se na prodaju otpisanog rabljenog prijevoznog sredstva.</w:t>
      </w:r>
    </w:p>
    <w:p w:rsidR="002A61EC" w:rsidRDefault="002A61EC" w:rsidP="007E22B5">
      <w:pPr>
        <w:pStyle w:val="Bezproreda"/>
        <w:jc w:val="both"/>
        <w:rPr>
          <w:i w:val="0"/>
        </w:rPr>
      </w:pPr>
    </w:p>
    <w:p w:rsidR="002A61EC" w:rsidRDefault="00FE2B6D" w:rsidP="007E22B5">
      <w:pPr>
        <w:pStyle w:val="Bezproreda"/>
        <w:jc w:val="both"/>
        <w:rPr>
          <w:i w:val="0"/>
        </w:rPr>
      </w:pPr>
      <w:r w:rsidRPr="00FE2B6D">
        <w:rPr>
          <w:b/>
          <w:i w:val="0"/>
        </w:rPr>
        <w:t>Primici od financijske imovine i zaduživanja</w:t>
      </w:r>
      <w:r>
        <w:rPr>
          <w:i w:val="0"/>
        </w:rPr>
        <w:t xml:space="preserve"> u 2019.godini ostvareni su u iznosu od 364.786,00 kuna odnose se na odobren financijski </w:t>
      </w:r>
      <w:proofErr w:type="spellStart"/>
      <w:r>
        <w:rPr>
          <w:i w:val="0"/>
        </w:rPr>
        <w:t>leasing</w:t>
      </w:r>
      <w:proofErr w:type="spellEnd"/>
      <w:r>
        <w:rPr>
          <w:i w:val="0"/>
        </w:rPr>
        <w:t>.</w:t>
      </w:r>
    </w:p>
    <w:p w:rsidR="00387E58" w:rsidRDefault="00387E58" w:rsidP="007E22B5">
      <w:pPr>
        <w:pStyle w:val="Bezproreda"/>
        <w:jc w:val="both"/>
        <w:rPr>
          <w:i w:val="0"/>
        </w:rPr>
      </w:pPr>
    </w:p>
    <w:p w:rsidR="00004DCB" w:rsidRPr="007E22B5" w:rsidRDefault="00004DCB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5.2. Rashodi i izdaci</w:t>
      </w:r>
    </w:p>
    <w:p w:rsidR="00004DCB" w:rsidRDefault="00004DCB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rashodi i izdaci u razdoblju od 01.siječnja  do 31.12.201</w:t>
      </w:r>
      <w:r w:rsidR="002A61EC">
        <w:rPr>
          <w:i w:val="0"/>
        </w:rPr>
        <w:t>9</w:t>
      </w:r>
      <w:r w:rsidRPr="007E22B5">
        <w:rPr>
          <w:i w:val="0"/>
        </w:rPr>
        <w:t xml:space="preserve">.g. iznose </w:t>
      </w:r>
      <w:r w:rsidR="002A61EC">
        <w:rPr>
          <w:i w:val="0"/>
        </w:rPr>
        <w:t>14.694.094,38</w:t>
      </w:r>
      <w:r w:rsidRPr="007E22B5">
        <w:rPr>
          <w:i w:val="0"/>
        </w:rPr>
        <w:t xml:space="preserve"> kuna</w:t>
      </w:r>
      <w:r w:rsidR="007E22B5" w:rsidRPr="007E22B5">
        <w:rPr>
          <w:i w:val="0"/>
        </w:rPr>
        <w:t xml:space="preserve">  i indeks izvršenja u odnosu na planirani proračun 201</w:t>
      </w:r>
      <w:r w:rsidR="002A61EC">
        <w:rPr>
          <w:i w:val="0"/>
        </w:rPr>
        <w:t>9</w:t>
      </w:r>
      <w:r w:rsidR="007E22B5" w:rsidRPr="007E22B5">
        <w:rPr>
          <w:i w:val="0"/>
        </w:rPr>
        <w:t xml:space="preserve">. godine  u iznosu od </w:t>
      </w:r>
      <w:r w:rsidR="002A61EC">
        <w:rPr>
          <w:i w:val="0"/>
        </w:rPr>
        <w:t>15.470.681,00</w:t>
      </w:r>
      <w:r w:rsidR="007E22B5" w:rsidRPr="007E22B5">
        <w:rPr>
          <w:i w:val="0"/>
        </w:rPr>
        <w:t xml:space="preserve"> kuna je </w:t>
      </w:r>
      <w:r w:rsidR="002A61EC">
        <w:rPr>
          <w:i w:val="0"/>
        </w:rPr>
        <w:t>94,98</w:t>
      </w:r>
      <w:r w:rsidR="007E22B5" w:rsidRPr="007E22B5">
        <w:rPr>
          <w:i w:val="0"/>
        </w:rPr>
        <w:t>%.</w:t>
      </w:r>
      <w:r w:rsidR="007E22B5">
        <w:rPr>
          <w:i w:val="0"/>
        </w:rPr>
        <w:t xml:space="preserve"> Rashodi  poslovanja  iznose</w:t>
      </w:r>
      <w:r w:rsidR="00617B71">
        <w:rPr>
          <w:i w:val="0"/>
        </w:rPr>
        <w:t xml:space="preserve"> </w:t>
      </w:r>
      <w:r w:rsidR="002A61EC">
        <w:rPr>
          <w:i w:val="0"/>
        </w:rPr>
        <w:t>11.137.118,65</w:t>
      </w:r>
      <w:r w:rsidR="007E22B5">
        <w:rPr>
          <w:i w:val="0"/>
        </w:rPr>
        <w:t xml:space="preserve"> kune </w:t>
      </w:r>
      <w:proofErr w:type="spellStart"/>
      <w:r w:rsidR="007E22B5">
        <w:rPr>
          <w:i w:val="0"/>
        </w:rPr>
        <w:t>re</w:t>
      </w:r>
      <w:proofErr w:type="spellEnd"/>
      <w:r w:rsidR="007E22B5">
        <w:rPr>
          <w:i w:val="0"/>
        </w:rPr>
        <w:t xml:space="preserve"> rashodi za nabavu nefinancijske imovine iznose </w:t>
      </w:r>
      <w:r w:rsidR="002A61EC">
        <w:rPr>
          <w:i w:val="0"/>
        </w:rPr>
        <w:t>3.556.975,73</w:t>
      </w:r>
      <w:r w:rsidR="007E22B5">
        <w:rPr>
          <w:i w:val="0"/>
        </w:rPr>
        <w:t xml:space="preserve"> kuna.</w:t>
      </w:r>
    </w:p>
    <w:p w:rsidR="0097241B" w:rsidRDefault="0097241B" w:rsidP="007E22B5">
      <w:pPr>
        <w:pStyle w:val="Bezproreda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201</w:t>
      </w:r>
      <w:r w:rsidR="00FE2B6D">
        <w:rPr>
          <w:i/>
          <w:szCs w:val="24"/>
        </w:rPr>
        <w:t>8</w:t>
      </w:r>
      <w:r w:rsidRPr="00944E56">
        <w:rPr>
          <w:i/>
          <w:szCs w:val="24"/>
        </w:rPr>
        <w:t>. i  201</w:t>
      </w:r>
      <w:r w:rsidR="00FE2B6D">
        <w:rPr>
          <w:i/>
          <w:szCs w:val="24"/>
        </w:rPr>
        <w:t>9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97241B" w:rsidRPr="007C5DF9" w:rsidTr="0094507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Vrsta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FE2B6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FE2B6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FE2B6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201</w:t>
            </w:r>
            <w:r w:rsidR="00FE2B6D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FE2B6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Izvršenje201</w:t>
            </w:r>
            <w:r w:rsidR="00FE2B6D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5D4C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4507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7(5/4)*100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2.756.989,77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3.213.400,00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3.156.559,18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114,49%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98,23%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7.427.421,62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6.389.923,00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6.444.585,82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76,76%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B6D" w:rsidRPr="007C5DF9" w:rsidRDefault="00FE2B6D" w:rsidP="00FE2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100,86%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30.490,81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48.730,00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34.973,49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114,70%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CA6" w:rsidRPr="007C5DF9" w:rsidRDefault="00FE2B6D" w:rsidP="005D4C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71,77%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FCE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</w:t>
            </w:r>
            <w:r w:rsidR="005D4CA6" w:rsidRPr="00377FCE">
              <w:rPr>
                <w:i w:val="0"/>
                <w:szCs w:val="18"/>
              </w:rPr>
              <w:t>D</w:t>
            </w:r>
            <w:r w:rsidRPr="00377FCE">
              <w:rPr>
                <w:i w:val="0"/>
                <w:szCs w:val="18"/>
              </w:rPr>
              <w:t>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FE2B6D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62.670,00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52.398,75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FE2B6D" w:rsidP="00FE2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146,37%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83,61%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FE2B6D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667.327,84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FE2B6D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662.100,00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675.726,41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101,26%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102,06%</w:t>
            </w:r>
          </w:p>
        </w:tc>
      </w:tr>
      <w:tr w:rsidR="0097241B" w:rsidRPr="007C5DF9" w:rsidTr="00FE2B6D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FE2B6D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831.630,84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FE2B6D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865.800,00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FE2B6D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92,93%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89,27%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neproizvedene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FE2B6D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341.915,00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365.850,00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355.600,00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104,00%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97,20%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945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709.188,92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3.457.208,00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2.796.208,00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643A" w:rsidRPr="007C5DF9" w:rsidRDefault="00AD69BF" w:rsidP="005264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394,39%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80,90%</w:t>
            </w:r>
          </w:p>
        </w:tc>
      </w:tr>
      <w:tr w:rsidR="0097241B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12.800.764,80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5264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15.470.681,00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14.694.094,38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114,79%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D69BF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94,98%</w:t>
            </w:r>
          </w:p>
        </w:tc>
      </w:tr>
      <w:tr w:rsidR="00EE6842" w:rsidRPr="007C5DF9" w:rsidTr="0094507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Pr="007C5DF9" w:rsidRDefault="00EE6842" w:rsidP="009450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94507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7241B" w:rsidRDefault="0097241B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AD69BF">
        <w:rPr>
          <w:i w:val="0"/>
        </w:rPr>
        <w:t>1.770.288,29</w:t>
      </w:r>
      <w:r w:rsidR="0052643A">
        <w:rPr>
          <w:i w:val="0"/>
        </w:rPr>
        <w:t xml:space="preserve"> </w:t>
      </w:r>
      <w:r>
        <w:rPr>
          <w:i w:val="0"/>
        </w:rPr>
        <w:t xml:space="preserve">kuna i to izdaci koji se financiraju iz proračuna Općine Posedarje u iznosu od </w:t>
      </w:r>
      <w:r w:rsidR="00AD69BF">
        <w:rPr>
          <w:i w:val="0"/>
        </w:rPr>
        <w:t>1.225.716,00</w:t>
      </w:r>
      <w:r>
        <w:rPr>
          <w:i w:val="0"/>
        </w:rPr>
        <w:t xml:space="preserve"> kune te rashodi financirani vlastitim sredstvima iz proračuna DV u iznosu od </w:t>
      </w:r>
      <w:r w:rsidR="00AD69BF">
        <w:rPr>
          <w:i w:val="0"/>
        </w:rPr>
        <w:t>544.572,29</w:t>
      </w:r>
      <w:r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Pr="007E22B5" w:rsidRDefault="007E22B5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5.2.1. Rashodi poslovanja</w:t>
      </w:r>
    </w:p>
    <w:p w:rsidR="0097241B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poslovanja ostvareni su u iznosu od </w:t>
      </w:r>
      <w:r w:rsidR="00AD69BF">
        <w:rPr>
          <w:i w:val="0"/>
        </w:rPr>
        <w:t>11.137.118,65</w:t>
      </w:r>
      <w:r>
        <w:rPr>
          <w:i w:val="0"/>
        </w:rPr>
        <w:t xml:space="preserve"> kunu ili </w:t>
      </w:r>
      <w:r w:rsidR="00AD69BF">
        <w:rPr>
          <w:i w:val="0"/>
        </w:rPr>
        <w:t>99,06</w:t>
      </w:r>
      <w:r>
        <w:rPr>
          <w:i w:val="0"/>
        </w:rPr>
        <w:t xml:space="preserve">% od planiranih </w:t>
      </w:r>
      <w:r w:rsidR="00AD69BF">
        <w:rPr>
          <w:i w:val="0"/>
        </w:rPr>
        <w:t>11.242.623,00</w:t>
      </w:r>
      <w:r w:rsidR="0023421A">
        <w:rPr>
          <w:i w:val="0"/>
        </w:rPr>
        <w:t xml:space="preserve"> kuna.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AD69BF">
        <w:rPr>
          <w:i w:val="0"/>
        </w:rPr>
        <w:t>3.156.559,18</w:t>
      </w:r>
      <w:r>
        <w:rPr>
          <w:i w:val="0"/>
        </w:rPr>
        <w:t xml:space="preserve"> kune što je </w:t>
      </w:r>
      <w:r w:rsidR="00AD69BF">
        <w:rPr>
          <w:i w:val="0"/>
        </w:rPr>
        <w:t>98,23</w:t>
      </w:r>
      <w:r>
        <w:rPr>
          <w:i w:val="0"/>
        </w:rPr>
        <w:t xml:space="preserve"> od plana. U te rashode uključene su bruto plaće zaposlenih djelatnika u JUO-u  i djelatnika zaposlenih  u DV Cvrčak Posedarje, ostali rashodi za zaposlene i doprinosi na plaće.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P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AD69BF">
        <w:rPr>
          <w:i w:val="0"/>
        </w:rPr>
        <w:t>6.444.585,82</w:t>
      </w:r>
      <w:r>
        <w:rPr>
          <w:i w:val="0"/>
        </w:rPr>
        <w:t xml:space="preserve"> kune a planirani su u iznosu od </w:t>
      </w:r>
      <w:r w:rsidR="00AD69BF">
        <w:rPr>
          <w:i w:val="0"/>
        </w:rPr>
        <w:t>6.389.923,00</w:t>
      </w:r>
      <w:r>
        <w:rPr>
          <w:i w:val="0"/>
        </w:rPr>
        <w:t xml:space="preserve"> kuna i čine najznačajniju stavku među rashodima proračuna. Ovi rashodi obuhvaćaju naknade troškova zaposlenima u iznosu od </w:t>
      </w:r>
      <w:r w:rsidR="00AD69BF">
        <w:rPr>
          <w:i w:val="0"/>
        </w:rPr>
        <w:t>126.039,72</w:t>
      </w:r>
      <w:r>
        <w:rPr>
          <w:i w:val="0"/>
        </w:rPr>
        <w:t xml:space="preserve">, rashodi za materijal i energiju u iznosu od </w:t>
      </w:r>
      <w:r w:rsidR="00AD69BF">
        <w:rPr>
          <w:i w:val="0"/>
        </w:rPr>
        <w:t>1.506.797,86</w:t>
      </w:r>
      <w:r>
        <w:rPr>
          <w:i w:val="0"/>
        </w:rPr>
        <w:t xml:space="preserve"> kunu a odnose se na rashode za uredski materijal, </w:t>
      </w:r>
      <w:r w:rsidR="00254F4B">
        <w:rPr>
          <w:i w:val="0"/>
        </w:rPr>
        <w:t>materijal i sirovine, energiju,</w:t>
      </w:r>
      <w:r w:rsidR="00090B6F">
        <w:rPr>
          <w:i w:val="0"/>
        </w:rPr>
        <w:t xml:space="preserve"> </w:t>
      </w:r>
      <w:r>
        <w:rPr>
          <w:i w:val="0"/>
        </w:rPr>
        <w:t>materijal i d</w:t>
      </w:r>
      <w:r w:rsidR="00254F4B">
        <w:rPr>
          <w:i w:val="0"/>
        </w:rPr>
        <w:t>i</w:t>
      </w:r>
      <w:r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Bezproreda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AD69BF">
        <w:rPr>
          <w:i w:val="0"/>
        </w:rPr>
        <w:t>3.499.008,99</w:t>
      </w:r>
      <w:r>
        <w:rPr>
          <w:i w:val="0"/>
        </w:rPr>
        <w:t xml:space="preserve"> kune. Navedene rashode čine rashodi za usluge pošte i telefona, usluge tekućeg i investicijskog održavanja, usluge promidžbe i </w:t>
      </w:r>
      <w:proofErr w:type="spellStart"/>
      <w:r>
        <w:rPr>
          <w:i w:val="0"/>
        </w:rPr>
        <w:t>informiranja,komunalne</w:t>
      </w:r>
      <w:proofErr w:type="spellEnd"/>
      <w:r>
        <w:rPr>
          <w:i w:val="0"/>
        </w:rPr>
        <w:t xml:space="preserve"> usluge, zakupnina i </w:t>
      </w:r>
      <w:proofErr w:type="spellStart"/>
      <w:r>
        <w:rPr>
          <w:i w:val="0"/>
        </w:rPr>
        <w:t>najamnina,zdravstvene</w:t>
      </w:r>
      <w:proofErr w:type="spellEnd"/>
      <w:r>
        <w:rPr>
          <w:i w:val="0"/>
        </w:rPr>
        <w:t xml:space="preserve"> i veterinarske </w:t>
      </w:r>
      <w:proofErr w:type="spellStart"/>
      <w:r>
        <w:rPr>
          <w:i w:val="0"/>
        </w:rPr>
        <w:t>usluge,intelektualne</w:t>
      </w:r>
      <w:proofErr w:type="spellEnd"/>
      <w:r>
        <w:rPr>
          <w:i w:val="0"/>
        </w:rPr>
        <w:t xml:space="preserve"> i osobne usluge, računalne usluge i ostale usluge.</w:t>
      </w:r>
    </w:p>
    <w:p w:rsidR="00254F4B" w:rsidRDefault="00254F4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AD69BF">
        <w:rPr>
          <w:i w:val="0"/>
        </w:rPr>
        <w:t>1.312.739,25</w:t>
      </w:r>
      <w:r>
        <w:rPr>
          <w:i w:val="0"/>
        </w:rPr>
        <w:t xml:space="preserve"> kuna a odnose se na naknade članovima predstavničkih tijela, naknade za rad povjerenstva na lokalnim izborima, premije osiguranja, reprezentacija, troškovi članarina, pristojbe i naknade i ostali nespomenuti rashodi poslovanja.</w:t>
      </w:r>
    </w:p>
    <w:p w:rsidR="00254F4B" w:rsidRDefault="00254F4B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AD69BF">
        <w:rPr>
          <w:i w:val="0"/>
        </w:rPr>
        <w:t>34.973,49</w:t>
      </w:r>
      <w:r>
        <w:rPr>
          <w:i w:val="0"/>
        </w:rPr>
        <w:t xml:space="preserve"> kuna  a čine ih rashodi za bankarske usluge i usluge platnog  prometa, zatezne kamate i ostali nespomenuti financijski rashodi.</w:t>
      </w:r>
    </w:p>
    <w:p w:rsidR="006C7F5F" w:rsidRDefault="006C7F5F" w:rsidP="007E22B5">
      <w:pPr>
        <w:pStyle w:val="Bezproreda"/>
        <w:jc w:val="both"/>
        <w:rPr>
          <w:i w:val="0"/>
        </w:rPr>
      </w:pPr>
    </w:p>
    <w:p w:rsidR="00090B6F" w:rsidRDefault="006C7F5F" w:rsidP="007E22B5">
      <w:pPr>
        <w:pStyle w:val="Bezproreda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 w:rsidR="00611F78">
        <w:rPr>
          <w:i w:val="0"/>
        </w:rPr>
        <w:t>52.398,75</w:t>
      </w:r>
      <w:r w:rsidR="00090B6F">
        <w:rPr>
          <w:i w:val="0"/>
        </w:rPr>
        <w:t xml:space="preserve"> </w:t>
      </w:r>
      <w:r w:rsidRPr="006C7F5F">
        <w:rPr>
          <w:i w:val="0"/>
        </w:rPr>
        <w:t xml:space="preserve">kuna a odnose se na pomoć </w:t>
      </w:r>
      <w:r w:rsidR="00090B6F">
        <w:rPr>
          <w:i w:val="0"/>
        </w:rPr>
        <w:t>dane proračunskim korisnicima drugih proračuna.</w:t>
      </w:r>
    </w:p>
    <w:p w:rsidR="00090B6F" w:rsidRDefault="00090B6F" w:rsidP="007E22B5">
      <w:pPr>
        <w:pStyle w:val="Bezproreda"/>
        <w:jc w:val="both"/>
        <w:rPr>
          <w:i w:val="0"/>
        </w:rPr>
      </w:pPr>
    </w:p>
    <w:p w:rsidR="00FD37E9" w:rsidRDefault="00090B6F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 xml:space="preserve"> </w:t>
      </w:r>
      <w:r w:rsidR="00FD37E9" w:rsidRPr="00FD37E9">
        <w:rPr>
          <w:b/>
          <w:i w:val="0"/>
        </w:rPr>
        <w:t>Naknade građanima i kućanstvima (grupa 37)</w:t>
      </w:r>
      <w:r w:rsidR="00FD37E9">
        <w:rPr>
          <w:b/>
          <w:i w:val="0"/>
        </w:rPr>
        <w:t xml:space="preserve"> </w:t>
      </w:r>
      <w:r w:rsidR="00FD37E9" w:rsidRPr="00FD37E9">
        <w:rPr>
          <w:i w:val="0"/>
        </w:rPr>
        <w:t xml:space="preserve">ostvareni su u iznosu od </w:t>
      </w:r>
      <w:r w:rsidR="00611F78">
        <w:rPr>
          <w:i w:val="0"/>
        </w:rPr>
        <w:t>675.726,41</w:t>
      </w:r>
      <w:r w:rsidR="00FD37E9" w:rsidRPr="00FD37E9">
        <w:rPr>
          <w:i w:val="0"/>
        </w:rPr>
        <w:t xml:space="preserve"> što je </w:t>
      </w:r>
      <w:r w:rsidR="00611F78">
        <w:rPr>
          <w:i w:val="0"/>
        </w:rPr>
        <w:t>102,06</w:t>
      </w:r>
      <w:r w:rsidR="00FD37E9" w:rsidRPr="00FD37E9">
        <w:rPr>
          <w:i w:val="0"/>
        </w:rPr>
        <w:t xml:space="preserve">% u odnosu na planiranih </w:t>
      </w:r>
      <w:r w:rsidR="00611F78">
        <w:rPr>
          <w:i w:val="0"/>
        </w:rPr>
        <w:t>662.100,00</w:t>
      </w:r>
      <w:r w:rsidR="00FD37E9" w:rsidRPr="00FD37E9">
        <w:rPr>
          <w:i w:val="0"/>
        </w:rPr>
        <w:t xml:space="preserve"> kuna.</w:t>
      </w:r>
    </w:p>
    <w:p w:rsidR="00FD37E9" w:rsidRDefault="00FD37E9" w:rsidP="007E22B5">
      <w:pPr>
        <w:pStyle w:val="Bezproreda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lastRenderedPageBreak/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201</w:t>
      </w:r>
      <w:r w:rsidR="00611F78">
        <w:rPr>
          <w:i w:val="0"/>
        </w:rPr>
        <w:t>9</w:t>
      </w:r>
      <w:r w:rsidRPr="00FD37E9">
        <w:rPr>
          <w:i w:val="0"/>
        </w:rPr>
        <w:t xml:space="preserve">.g. iznose </w:t>
      </w:r>
      <w:r w:rsidR="00611F78">
        <w:rPr>
          <w:i w:val="0"/>
        </w:rPr>
        <w:t>772.875,00</w:t>
      </w:r>
      <w:r w:rsidRPr="00FD37E9">
        <w:rPr>
          <w:i w:val="0"/>
        </w:rPr>
        <w:t xml:space="preserve"> kuna i indeks ostvarenja u odnosu na planirani iznos 201</w:t>
      </w:r>
      <w:r w:rsidR="00611F78">
        <w:rPr>
          <w:i w:val="0"/>
        </w:rPr>
        <w:t>9</w:t>
      </w:r>
      <w:r w:rsidRPr="00FD37E9">
        <w:rPr>
          <w:i w:val="0"/>
        </w:rPr>
        <w:t xml:space="preserve">.g. je </w:t>
      </w:r>
      <w:r w:rsidR="00611F78">
        <w:rPr>
          <w:i w:val="0"/>
        </w:rPr>
        <w:t>89,27</w:t>
      </w:r>
      <w:r w:rsidRPr="00FD37E9">
        <w:rPr>
          <w:i w:val="0"/>
        </w:rPr>
        <w:t>%.</w:t>
      </w:r>
      <w:r>
        <w:rPr>
          <w:i w:val="0"/>
        </w:rPr>
        <w:t xml:space="preserve"> Ostali rashodi odnose se na pomoći i donacije dane na temelju programa javnih potreba u kulturi, sportu, predškolskom odgoju i školstvu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socijalnoj skrbi.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b/>
          <w:i w:val="0"/>
        </w:rPr>
      </w:pPr>
      <w:r w:rsidRPr="00FD37E9">
        <w:rPr>
          <w:b/>
          <w:i w:val="0"/>
        </w:rPr>
        <w:t xml:space="preserve">5.2.2. </w:t>
      </w:r>
      <w:r>
        <w:rPr>
          <w:b/>
          <w:i w:val="0"/>
        </w:rPr>
        <w:t>R</w:t>
      </w:r>
      <w:r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611F78">
        <w:rPr>
          <w:i w:val="0"/>
        </w:rPr>
        <w:t>3.556.975,73</w:t>
      </w:r>
      <w:r w:rsidRPr="00FD37E9">
        <w:rPr>
          <w:i w:val="0"/>
        </w:rPr>
        <w:t xml:space="preserve"> kuna ili </w:t>
      </w:r>
      <w:r w:rsidR="00611F78">
        <w:rPr>
          <w:i w:val="0"/>
        </w:rPr>
        <w:t>84,13</w:t>
      </w:r>
      <w:r w:rsidRPr="00FD37E9">
        <w:rPr>
          <w:i w:val="0"/>
        </w:rPr>
        <w:t xml:space="preserve">% od planiranih </w:t>
      </w:r>
      <w:r w:rsidR="00611F78">
        <w:rPr>
          <w:i w:val="0"/>
        </w:rPr>
        <w:t>4.228.058,00</w:t>
      </w:r>
      <w:r w:rsidRPr="00FD37E9">
        <w:rPr>
          <w:i w:val="0"/>
        </w:rPr>
        <w:t xml:space="preserve"> kuna. </w:t>
      </w:r>
    </w:p>
    <w:p w:rsidR="00611F78" w:rsidRDefault="0097241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611F78">
        <w:rPr>
          <w:i w:val="0"/>
        </w:rPr>
        <w:t>355.600,00</w:t>
      </w:r>
      <w:r>
        <w:rPr>
          <w:i w:val="0"/>
        </w:rPr>
        <w:t xml:space="preserve"> kune. Rashode za nabavu proizvedene dugotrajne imovine u iznosu od </w:t>
      </w:r>
      <w:r w:rsidR="00611F78">
        <w:rPr>
          <w:i w:val="0"/>
        </w:rPr>
        <w:t>2.796.999,86</w:t>
      </w:r>
      <w:r>
        <w:rPr>
          <w:i w:val="0"/>
        </w:rPr>
        <w:t xml:space="preserve"> kuna čine rashodi za građevinske objekte u iznosu od </w:t>
      </w:r>
      <w:r w:rsidR="00611F78">
        <w:rPr>
          <w:i w:val="0"/>
        </w:rPr>
        <w:t>2.022.223,63</w:t>
      </w:r>
      <w:r>
        <w:rPr>
          <w:i w:val="0"/>
        </w:rPr>
        <w:t xml:space="preserve"> kuna, rashodi za postrojenja i opremu u iznosu od </w:t>
      </w:r>
      <w:r w:rsidR="00611F78">
        <w:rPr>
          <w:i w:val="0"/>
        </w:rPr>
        <w:t>238.101,00 kuna ,prijevozna sredstva u iznosu od 484.925,23 kune te nematerijalna proizvedena imovina u iznosu od 51.750,00 kune.</w:t>
      </w:r>
    </w:p>
    <w:p w:rsidR="00611F78" w:rsidRDefault="00611F78" w:rsidP="007E22B5">
      <w:pPr>
        <w:pStyle w:val="Bezproreda"/>
        <w:jc w:val="both"/>
        <w:rPr>
          <w:i w:val="0"/>
        </w:rPr>
      </w:pPr>
      <w:r>
        <w:rPr>
          <w:i w:val="0"/>
        </w:rPr>
        <w:t>Rashode za dodatna ulaganja na nefinancijskoj imovini iznose 404.375,87 kuna.</w:t>
      </w:r>
    </w:p>
    <w:p w:rsidR="00611F78" w:rsidRDefault="00611F78" w:rsidP="007E22B5">
      <w:pPr>
        <w:pStyle w:val="Bezproreda"/>
        <w:jc w:val="both"/>
        <w:rPr>
          <w:i w:val="0"/>
        </w:rPr>
      </w:pPr>
    </w:p>
    <w:p w:rsidR="00611F78" w:rsidRPr="00611F78" w:rsidRDefault="00611F78" w:rsidP="00611F78">
      <w:pPr>
        <w:pStyle w:val="Bezproreda"/>
        <w:jc w:val="both"/>
        <w:rPr>
          <w:b/>
          <w:i w:val="0"/>
        </w:rPr>
      </w:pPr>
      <w:r w:rsidRPr="00611F78">
        <w:rPr>
          <w:b/>
          <w:i w:val="0"/>
        </w:rPr>
        <w:t xml:space="preserve">5.2.3 </w:t>
      </w:r>
      <w:r>
        <w:rPr>
          <w:b/>
          <w:i w:val="0"/>
        </w:rPr>
        <w:t>Izdaci za financijsku imovinu i otplate zajmova</w:t>
      </w:r>
    </w:p>
    <w:p w:rsidR="00D3121F" w:rsidRPr="00611F78" w:rsidRDefault="00611F78" w:rsidP="007E22B5">
      <w:pPr>
        <w:pStyle w:val="Bezproreda"/>
        <w:jc w:val="both"/>
        <w:rPr>
          <w:i w:val="0"/>
        </w:rPr>
      </w:pPr>
      <w:r w:rsidRPr="00611F78">
        <w:rPr>
          <w:i w:val="0"/>
        </w:rPr>
        <w:t xml:space="preserve">Ovi izdaci odnose se na otplatu glavnice financijskog </w:t>
      </w:r>
      <w:proofErr w:type="spellStart"/>
      <w:r w:rsidRPr="00611F78">
        <w:rPr>
          <w:i w:val="0"/>
        </w:rPr>
        <w:t>leasinga</w:t>
      </w:r>
      <w:proofErr w:type="spellEnd"/>
      <w:r w:rsidRPr="00611F78">
        <w:rPr>
          <w:i w:val="0"/>
        </w:rPr>
        <w:t xml:space="preserve"> u iznosu od 26.875,30 kuna.</w:t>
      </w:r>
    </w:p>
    <w:p w:rsidR="00611F78" w:rsidRDefault="00611F78" w:rsidP="007E22B5">
      <w:pPr>
        <w:pStyle w:val="Bezproreda"/>
        <w:jc w:val="both"/>
        <w:rPr>
          <w:b/>
          <w:i w:val="0"/>
        </w:rPr>
      </w:pPr>
    </w:p>
    <w:p w:rsidR="00A509B4" w:rsidRPr="007E22B5" w:rsidRDefault="00A509B4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9A6903" w:rsidRDefault="00EE6842" w:rsidP="007E22B5">
      <w:pPr>
        <w:pStyle w:val="Bezproreda"/>
        <w:jc w:val="both"/>
        <w:rPr>
          <w:b/>
          <w:i w:val="0"/>
        </w:rPr>
      </w:pPr>
      <w:r w:rsidRPr="00EE6842">
        <w:rPr>
          <w:b/>
          <w:i w:val="0"/>
        </w:rPr>
        <w:t>5.3. Rezultat poslovanja</w:t>
      </w:r>
    </w:p>
    <w:p w:rsidR="00954CC4" w:rsidRPr="00EE6842" w:rsidRDefault="00954CC4" w:rsidP="007E22B5">
      <w:pPr>
        <w:pStyle w:val="Bezproreda"/>
        <w:jc w:val="both"/>
        <w:rPr>
          <w:b/>
          <w:i w:val="0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1284"/>
        <w:gridCol w:w="1518"/>
        <w:gridCol w:w="1417"/>
        <w:gridCol w:w="1701"/>
        <w:gridCol w:w="1985"/>
        <w:gridCol w:w="1842"/>
      </w:tblGrid>
      <w:tr w:rsidR="0043235A" w:rsidTr="003A3154">
        <w:tc>
          <w:tcPr>
            <w:tcW w:w="1284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18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PRIHODI I PRIMICI</w:t>
            </w:r>
          </w:p>
        </w:tc>
        <w:tc>
          <w:tcPr>
            <w:tcW w:w="1417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701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1985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842" w:type="dxa"/>
          </w:tcPr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94507E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518" w:type="dxa"/>
          </w:tcPr>
          <w:p w:rsidR="0043235A" w:rsidRPr="00126370" w:rsidRDefault="003A3154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13.247.524,06</w:t>
            </w:r>
          </w:p>
        </w:tc>
        <w:tc>
          <w:tcPr>
            <w:tcW w:w="1417" w:type="dxa"/>
          </w:tcPr>
          <w:p w:rsidR="0043235A" w:rsidRPr="00126370" w:rsidRDefault="003A3154" w:rsidP="00C337AF">
            <w:pPr>
              <w:pStyle w:val="Bezprored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14.176.398,</w:t>
            </w:r>
            <w:r w:rsidR="00C337A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3235A" w:rsidRPr="00126370" w:rsidRDefault="00C337AF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-928.874,33</w:t>
            </w:r>
          </w:p>
        </w:tc>
        <w:tc>
          <w:tcPr>
            <w:tcW w:w="1985" w:type="dxa"/>
          </w:tcPr>
          <w:p w:rsidR="0043235A" w:rsidRPr="00126370" w:rsidRDefault="00C337AF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-1.356.887,30</w:t>
            </w:r>
          </w:p>
        </w:tc>
        <w:tc>
          <w:tcPr>
            <w:tcW w:w="1842" w:type="dxa"/>
          </w:tcPr>
          <w:p w:rsidR="0043235A" w:rsidRPr="00126370" w:rsidRDefault="00C337AF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-2.285.761,63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518" w:type="dxa"/>
          </w:tcPr>
          <w:p w:rsidR="0043235A" w:rsidRPr="00126370" w:rsidRDefault="003A3154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546.785,13</w:t>
            </w:r>
          </w:p>
        </w:tc>
        <w:tc>
          <w:tcPr>
            <w:tcW w:w="1417" w:type="dxa"/>
          </w:tcPr>
          <w:p w:rsidR="0043235A" w:rsidRPr="00126370" w:rsidRDefault="003A3154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544.572,29</w:t>
            </w:r>
          </w:p>
        </w:tc>
        <w:tc>
          <w:tcPr>
            <w:tcW w:w="1701" w:type="dxa"/>
          </w:tcPr>
          <w:p w:rsidR="0043235A" w:rsidRPr="00126370" w:rsidRDefault="00C337AF" w:rsidP="0094507E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2.212,84</w:t>
            </w:r>
          </w:p>
        </w:tc>
        <w:tc>
          <w:tcPr>
            <w:tcW w:w="1985" w:type="dxa"/>
          </w:tcPr>
          <w:p w:rsidR="0043235A" w:rsidRPr="00126370" w:rsidRDefault="00C337AF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7.259</w:t>
            </w:r>
            <w:r w:rsidR="003E7B44">
              <w:rPr>
                <w:b/>
                <w:sz w:val="20"/>
                <w:szCs w:val="20"/>
              </w:rPr>
              <w:t>,</w:t>
            </w:r>
            <w:r w:rsidR="00321DB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</w:tcPr>
          <w:p w:rsidR="0043235A" w:rsidRPr="00126370" w:rsidRDefault="00C337AF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9.47</w:t>
            </w:r>
            <w:r w:rsidR="00321DB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</w:t>
            </w:r>
            <w:r w:rsidR="00321DB4">
              <w:rPr>
                <w:b/>
                <w:sz w:val="20"/>
                <w:szCs w:val="20"/>
              </w:rPr>
              <w:t>8</w:t>
            </w:r>
            <w:r w:rsidR="003E7B44">
              <w:rPr>
                <w:b/>
                <w:sz w:val="20"/>
                <w:szCs w:val="20"/>
              </w:rPr>
              <w:t>4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94507E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518" w:type="dxa"/>
          </w:tcPr>
          <w:p w:rsidR="0043235A" w:rsidRPr="00126370" w:rsidRDefault="003A3154" w:rsidP="00735F1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13.794.309,19</w:t>
            </w:r>
          </w:p>
        </w:tc>
        <w:tc>
          <w:tcPr>
            <w:tcW w:w="1417" w:type="dxa"/>
          </w:tcPr>
          <w:p w:rsidR="0043235A" w:rsidRPr="00126370" w:rsidRDefault="003A3154" w:rsidP="00C337AF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14.720.970,</w:t>
            </w:r>
            <w:r w:rsidR="00C337A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3235A" w:rsidRPr="00126370" w:rsidRDefault="00C337AF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-926.661,49</w:t>
            </w:r>
          </w:p>
        </w:tc>
        <w:tc>
          <w:tcPr>
            <w:tcW w:w="1985" w:type="dxa"/>
          </w:tcPr>
          <w:p w:rsidR="0043235A" w:rsidRPr="00126370" w:rsidRDefault="00C337AF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-1.349.628,</w:t>
            </w:r>
            <w:r w:rsidR="00321DB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43235A" w:rsidRPr="00126370" w:rsidRDefault="00C337AF" w:rsidP="003E7B4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-2.276.289,</w:t>
            </w:r>
            <w:r w:rsidR="003E7B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</w:tbl>
    <w:p w:rsidR="009A6903" w:rsidRDefault="009A6903" w:rsidP="007E22B5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>Općina Posedarje je u 201</w:t>
      </w:r>
      <w:r w:rsidR="00321DB4">
        <w:rPr>
          <w:i w:val="0"/>
        </w:rPr>
        <w:t>9</w:t>
      </w:r>
      <w:r>
        <w:rPr>
          <w:i w:val="0"/>
        </w:rPr>
        <w:t xml:space="preserve">. godini ostvarila ukupne prihode u iznosu od </w:t>
      </w:r>
      <w:r w:rsidR="00321DB4">
        <w:rPr>
          <w:i w:val="0"/>
        </w:rPr>
        <w:t>13.247.524,06</w:t>
      </w:r>
      <w:r>
        <w:rPr>
          <w:i w:val="0"/>
        </w:rPr>
        <w:t xml:space="preserve"> kuna, ukupni rashodi za 201</w:t>
      </w:r>
      <w:r w:rsidR="00321DB4">
        <w:rPr>
          <w:i w:val="0"/>
        </w:rPr>
        <w:t>9</w:t>
      </w:r>
      <w:r>
        <w:rPr>
          <w:i w:val="0"/>
        </w:rPr>
        <w:t>.</w:t>
      </w:r>
      <w:r w:rsidR="009D7B59">
        <w:rPr>
          <w:i w:val="0"/>
        </w:rPr>
        <w:t xml:space="preserve"> </w:t>
      </w:r>
      <w:r>
        <w:rPr>
          <w:i w:val="0"/>
        </w:rPr>
        <w:t xml:space="preserve">godinu iznosili su </w:t>
      </w:r>
      <w:r w:rsidR="00321DB4">
        <w:rPr>
          <w:i w:val="0"/>
        </w:rPr>
        <w:t>14.176.398,39</w:t>
      </w:r>
      <w:r>
        <w:rPr>
          <w:i w:val="0"/>
        </w:rPr>
        <w:t xml:space="preserve"> kuna . Rezultat poslovanja 201</w:t>
      </w:r>
      <w:r w:rsidR="00321DB4">
        <w:rPr>
          <w:i w:val="0"/>
        </w:rPr>
        <w:t>9</w:t>
      </w:r>
      <w:r>
        <w:rPr>
          <w:i w:val="0"/>
        </w:rPr>
        <w:t xml:space="preserve"> godine je ostvareni </w:t>
      </w:r>
      <w:r w:rsidR="00321DB4">
        <w:rPr>
          <w:i w:val="0"/>
        </w:rPr>
        <w:t>manjak</w:t>
      </w:r>
      <w:r>
        <w:rPr>
          <w:i w:val="0"/>
        </w:rPr>
        <w:t xml:space="preserve"> prihoda poslovanja u iznosu od </w:t>
      </w:r>
      <w:r w:rsidR="00321DB4">
        <w:rPr>
          <w:i w:val="0"/>
        </w:rPr>
        <w:t>928.874,33</w:t>
      </w:r>
      <w:r>
        <w:rPr>
          <w:i w:val="0"/>
        </w:rPr>
        <w:t xml:space="preserve"> kune. Međutim, s obzirom na preneseni manjak iz prethodnih godina  koji iznosi </w:t>
      </w:r>
      <w:r w:rsidR="00321DB4">
        <w:rPr>
          <w:i w:val="0"/>
        </w:rPr>
        <w:t>1.356.887,30</w:t>
      </w:r>
      <w:r>
        <w:rPr>
          <w:i w:val="0"/>
        </w:rPr>
        <w:t xml:space="preserve"> kuna  u slijedeće razdoblje prenosi se proračunski manjak u iznosu od </w:t>
      </w:r>
      <w:r w:rsidR="00321DB4">
        <w:rPr>
          <w:i w:val="0"/>
        </w:rPr>
        <w:t>2.285.761,63</w:t>
      </w:r>
      <w:r>
        <w:rPr>
          <w:i w:val="0"/>
        </w:rPr>
        <w:t xml:space="preserve"> kune.</w:t>
      </w:r>
    </w:p>
    <w:p w:rsidR="00526E64" w:rsidRDefault="00526E64" w:rsidP="00954CC4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Dječji vrtić Cvrčak Posedarje u 201</w:t>
      </w:r>
      <w:r w:rsidR="00321DB4">
        <w:rPr>
          <w:i w:val="0"/>
        </w:rPr>
        <w:t>9</w:t>
      </w:r>
      <w:r>
        <w:rPr>
          <w:i w:val="0"/>
        </w:rPr>
        <w:t>. godini ostvario je</w:t>
      </w:r>
      <w:r w:rsidR="00321DB4">
        <w:rPr>
          <w:i w:val="0"/>
        </w:rPr>
        <w:t xml:space="preserve"> 546.785,13</w:t>
      </w:r>
      <w:r w:rsidR="00954CC4">
        <w:rPr>
          <w:i w:val="0"/>
        </w:rPr>
        <w:t xml:space="preserve"> kuna namjenskih prihoda i primitaka, te </w:t>
      </w:r>
      <w:r w:rsidR="00321DB4">
        <w:rPr>
          <w:i w:val="0"/>
        </w:rPr>
        <w:t>544.572,29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321DB4">
        <w:rPr>
          <w:i w:val="0"/>
        </w:rPr>
        <w:t xml:space="preserve">višak </w:t>
      </w:r>
      <w:r w:rsidR="00954CC4">
        <w:rPr>
          <w:i w:val="0"/>
        </w:rPr>
        <w:t xml:space="preserve">prihoda poslovanja u iznosu od </w:t>
      </w:r>
      <w:r w:rsidR="00321DB4">
        <w:rPr>
          <w:i w:val="0"/>
        </w:rPr>
        <w:t>2.212,84</w:t>
      </w:r>
      <w:r w:rsidR="00B56D04">
        <w:rPr>
          <w:i w:val="0"/>
        </w:rPr>
        <w:t xml:space="preserve"> kuna. S obzirom na preneseni višak iz prethodnih godina rezultat u naredno razdoblje prenosi se višak od </w:t>
      </w:r>
      <w:r w:rsidR="00321DB4">
        <w:rPr>
          <w:i w:val="0"/>
        </w:rPr>
        <w:t>9.471,84</w:t>
      </w:r>
      <w:r w:rsidR="00B56D04">
        <w:rPr>
          <w:i w:val="0"/>
        </w:rPr>
        <w:t xml:space="preserve"> kuna.</w:t>
      </w:r>
    </w:p>
    <w:p w:rsidR="00954CC4" w:rsidRDefault="00954CC4" w:rsidP="00954CC4">
      <w:pPr>
        <w:pStyle w:val="Bezproreda"/>
        <w:jc w:val="both"/>
        <w:rPr>
          <w:i w:val="0"/>
        </w:rPr>
      </w:pPr>
    </w:p>
    <w:p w:rsidR="00954CC4" w:rsidRPr="004F56B6" w:rsidRDefault="00954CC4" w:rsidP="00954CC4">
      <w:pPr>
        <w:pStyle w:val="Bezproreda"/>
        <w:jc w:val="both"/>
        <w:rPr>
          <w:b/>
          <w:i w:val="0"/>
        </w:rPr>
      </w:pPr>
      <w:r w:rsidRPr="004F56B6">
        <w:rPr>
          <w:b/>
          <w:i w:val="0"/>
        </w:rPr>
        <w:t>5.4. Potraživanja i obveze</w:t>
      </w:r>
    </w:p>
    <w:p w:rsidR="00954CC4" w:rsidRDefault="00954CC4" w:rsidP="00954CC4">
      <w:pPr>
        <w:pStyle w:val="Bezproreda"/>
        <w:jc w:val="both"/>
        <w:rPr>
          <w:i w:val="0"/>
        </w:rPr>
      </w:pPr>
      <w:r>
        <w:rPr>
          <w:i w:val="0"/>
        </w:rPr>
        <w:t>Sukladno Pravilniku o izmjenama i dopunama Pravilnika o polugodišnjem i godišnjem izvršenju proračuna Obrazloženje ostvarivanja prihoda i primitaka, rashoda i izdataka sadrži i :</w:t>
      </w:r>
    </w:p>
    <w:p w:rsidR="00954CC4" w:rsidRPr="004F56B6" w:rsidRDefault="00954CC4" w:rsidP="00954CC4">
      <w:pPr>
        <w:pStyle w:val="Bezproreda"/>
        <w:jc w:val="both"/>
      </w:pPr>
      <w:r w:rsidRPr="004F56B6">
        <w:t xml:space="preserve">-stanje nenaplaćenih </w:t>
      </w:r>
      <w:r w:rsidR="004F56B6" w:rsidRPr="004F56B6">
        <w:t>potraživanja za prihode jedinica lokalne i područne (regionalne) samouprave i njihovih proračunskih korisnika,</w:t>
      </w:r>
    </w:p>
    <w:p w:rsidR="004F56B6" w:rsidRPr="004F56B6" w:rsidRDefault="004F56B6" w:rsidP="00954CC4">
      <w:pPr>
        <w:pStyle w:val="Bezproreda"/>
        <w:jc w:val="both"/>
      </w:pPr>
      <w:r w:rsidRPr="004F56B6">
        <w:t>-stanje nepodmirenih dospjelih obveza jedinica lokalne i područne (regionalne) samouprave i njihovih proračunskih korisnika</w:t>
      </w:r>
    </w:p>
    <w:p w:rsidR="004F56B6" w:rsidRPr="004F56B6" w:rsidRDefault="004F56B6" w:rsidP="00954CC4">
      <w:pPr>
        <w:pStyle w:val="Bezproreda"/>
        <w:jc w:val="both"/>
      </w:pPr>
      <w:r w:rsidRPr="004F56B6">
        <w:t>- stanje potencijalnih obveza po osnovi sudskih sporova jedinica lokalne i područne (regionalne) samouprave i njihovih proračunskih korisnika.</w:t>
      </w:r>
    </w:p>
    <w:p w:rsidR="00954CC4" w:rsidRDefault="00954CC4" w:rsidP="00954CC4">
      <w:pPr>
        <w:pStyle w:val="Bezproreda"/>
        <w:jc w:val="both"/>
        <w:rPr>
          <w:i w:val="0"/>
        </w:rPr>
      </w:pPr>
    </w:p>
    <w:p w:rsidR="004F56B6" w:rsidRPr="004F56B6" w:rsidRDefault="004F56B6" w:rsidP="00954CC4">
      <w:pPr>
        <w:pStyle w:val="Bezproreda"/>
        <w:jc w:val="both"/>
        <w:rPr>
          <w:b/>
          <w:i w:val="0"/>
        </w:rPr>
      </w:pPr>
      <w:r w:rsidRPr="004F56B6">
        <w:rPr>
          <w:b/>
          <w:i w:val="0"/>
        </w:rPr>
        <w:lastRenderedPageBreak/>
        <w:t>5.4.1. Stanje nenaplaćenih potraživanja</w:t>
      </w:r>
    </w:p>
    <w:p w:rsidR="004F56B6" w:rsidRDefault="004F56B6" w:rsidP="00954CC4">
      <w:pPr>
        <w:pStyle w:val="Bezproreda"/>
        <w:jc w:val="both"/>
        <w:rPr>
          <w:i w:val="0"/>
        </w:rPr>
      </w:pPr>
      <w:r>
        <w:rPr>
          <w:i w:val="0"/>
        </w:rPr>
        <w:t>Ukupna potraživanja Općine Posedarje na dan 31.12.201</w:t>
      </w:r>
      <w:r w:rsidR="00321DB4">
        <w:rPr>
          <w:i w:val="0"/>
        </w:rPr>
        <w:t>9</w:t>
      </w:r>
      <w:r>
        <w:rPr>
          <w:i w:val="0"/>
        </w:rPr>
        <w:t xml:space="preserve">. godine iznose </w:t>
      </w:r>
      <w:r w:rsidR="008C5709">
        <w:rPr>
          <w:i w:val="0"/>
        </w:rPr>
        <w:t>9.560.983,07</w:t>
      </w:r>
      <w:r>
        <w:rPr>
          <w:i w:val="0"/>
        </w:rPr>
        <w:t xml:space="preserve"> kuna. Stanje nenaplaćenih potraživanja proračunskog korisnika DV Cvrčak Posedarje iznose </w:t>
      </w:r>
      <w:r w:rsidR="008C5709">
        <w:rPr>
          <w:i w:val="0"/>
        </w:rPr>
        <w:t>66.759,00</w:t>
      </w:r>
      <w:r>
        <w:rPr>
          <w:i w:val="0"/>
        </w:rPr>
        <w:t xml:space="preserve"> kuna.</w:t>
      </w: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E723CA" w:rsidTr="00B56D04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pStyle w:val="Bezproreda"/>
              <w:jc w:val="both"/>
              <w:rPr>
                <w:i w:val="0"/>
              </w:rPr>
            </w:pPr>
            <w:r w:rsidRPr="00E723CA">
              <w:rPr>
                <w:i w:val="0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Pr="00E723CA" w:rsidRDefault="008C5709" w:rsidP="00E723CA">
            <w:pPr>
              <w:jc w:val="right"/>
            </w:pPr>
            <w:r>
              <w:t>922.836,77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porez na tvrtku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465.365,45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504.064,95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26.594,82</w:t>
            </w:r>
          </w:p>
        </w:tc>
      </w:tr>
      <w:tr w:rsidR="00B56D04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56D04" w:rsidRDefault="00B56D04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zatezne kamate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56D04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42.289,25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dane koncesije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15.300,00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67.035,89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naknade za korištenje nefinancijske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230,86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162.922,54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700.137,90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B56D0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po osnovi 6% naknade za razvoj vodoopskrbe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631.464,84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B56D0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</w:t>
            </w:r>
            <w:r w:rsidR="00B56D04">
              <w:rPr>
                <w:i w:val="0"/>
              </w:rPr>
              <w:t>ostale nespomenute prihode(odvoz smeća i katastarsku izmjeru)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2.162.802,90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425.456,05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komunalnu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1.612.874,04</w:t>
            </w:r>
          </w:p>
        </w:tc>
      </w:tr>
      <w:tr w:rsidR="00B56D04" w:rsidTr="008C5709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B56D04" w:rsidRDefault="00B56D04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ostale prihode (troškovi sudskih postupaka)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56D04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22.744,71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8C5709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1.798.862,10</w:t>
            </w:r>
          </w:p>
        </w:tc>
      </w:tr>
    </w:tbl>
    <w:p w:rsidR="004F56B6" w:rsidRDefault="004F56B6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8C5709">
        <w:trPr>
          <w:trHeight w:val="70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8C5709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66.759,00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Pr="00A92E91" w:rsidRDefault="00A92E91" w:rsidP="00954CC4">
      <w:pPr>
        <w:pStyle w:val="Bezproreda"/>
        <w:jc w:val="both"/>
        <w:rPr>
          <w:b/>
          <w:i w:val="0"/>
        </w:rPr>
      </w:pPr>
      <w:r w:rsidRPr="00A92E91">
        <w:rPr>
          <w:b/>
          <w:i w:val="0"/>
        </w:rPr>
        <w:t>5.4.2.Stanje obveza</w:t>
      </w:r>
    </w:p>
    <w:p w:rsidR="00A92E91" w:rsidRDefault="00A92E91" w:rsidP="00954CC4">
      <w:pPr>
        <w:pStyle w:val="Bezproreda"/>
        <w:jc w:val="both"/>
        <w:rPr>
          <w:i w:val="0"/>
        </w:rPr>
      </w:pPr>
    </w:p>
    <w:p w:rsidR="00B437A9" w:rsidRDefault="00A92E91" w:rsidP="00B437A9">
      <w:pPr>
        <w:pStyle w:val="Bezproreda"/>
        <w:rPr>
          <w:i w:val="0"/>
        </w:rPr>
      </w:pPr>
      <w:r>
        <w:rPr>
          <w:i w:val="0"/>
        </w:rPr>
        <w:t>Stanje obveza Općine Posedarje na dan 31.prosinca 201</w:t>
      </w:r>
      <w:r w:rsidR="008C5709">
        <w:rPr>
          <w:i w:val="0"/>
        </w:rPr>
        <w:t>9</w:t>
      </w:r>
      <w:r>
        <w:rPr>
          <w:i w:val="0"/>
        </w:rPr>
        <w:t xml:space="preserve">. godine iznose  </w:t>
      </w:r>
      <w:r w:rsidR="008C5709">
        <w:rPr>
          <w:i w:val="0"/>
        </w:rPr>
        <w:t>2.746.75</w:t>
      </w:r>
      <w:r w:rsidR="00C15E84">
        <w:rPr>
          <w:i w:val="0"/>
        </w:rPr>
        <w:t>2</w:t>
      </w:r>
      <w:r w:rsidR="008C5709">
        <w:rPr>
          <w:i w:val="0"/>
        </w:rPr>
        <w:t>,51</w:t>
      </w:r>
      <w:r>
        <w:rPr>
          <w:i w:val="0"/>
        </w:rPr>
        <w:t xml:space="preserve"> kuna od</w:t>
      </w:r>
    </w:p>
    <w:p w:rsidR="00B437A9" w:rsidRDefault="00A92E91" w:rsidP="00B437A9">
      <w:pPr>
        <w:pStyle w:val="Bezproreda"/>
        <w:rPr>
          <w:i w:val="0"/>
        </w:rPr>
      </w:pPr>
      <w:r>
        <w:rPr>
          <w:i w:val="0"/>
        </w:rPr>
        <w:t xml:space="preserve"> čega nedospjele obveze iznose </w:t>
      </w:r>
      <w:r w:rsidR="00C15E84">
        <w:rPr>
          <w:i w:val="0"/>
        </w:rPr>
        <w:t>262.529,00</w:t>
      </w:r>
      <w:r w:rsidR="0009477E">
        <w:rPr>
          <w:i w:val="0"/>
        </w:rPr>
        <w:t xml:space="preserve"> </w:t>
      </w:r>
      <w:r>
        <w:rPr>
          <w:i w:val="0"/>
        </w:rPr>
        <w:t xml:space="preserve"> kuna. Stanje obveza DV Cvrčak Posedarje iznose </w:t>
      </w:r>
    </w:p>
    <w:p w:rsidR="00A92E91" w:rsidRDefault="00C15E84" w:rsidP="00B437A9">
      <w:pPr>
        <w:pStyle w:val="Bezproreda"/>
        <w:rPr>
          <w:i w:val="0"/>
        </w:rPr>
      </w:pPr>
      <w:r>
        <w:rPr>
          <w:i w:val="0"/>
        </w:rPr>
        <w:t>114.422 kuna koje su nedospjele.</w:t>
      </w:r>
    </w:p>
    <w:p w:rsidR="00A92E91" w:rsidRDefault="00A92E91" w:rsidP="00B437A9">
      <w:pPr>
        <w:pStyle w:val="Bezproreda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zaposlene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163.369,12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materijalne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1.237.634,51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financijske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3.060,53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naknade građanima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49.237,91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403.905,74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33.648,80</w:t>
            </w:r>
          </w:p>
        </w:tc>
      </w:tr>
      <w:tr w:rsidR="00A92E91" w:rsidTr="0025297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25297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855.895,90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25297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B437A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Obveze DV Cvrčak Posed</w:t>
            </w:r>
            <w:r w:rsidR="00B437A9">
              <w:rPr>
                <w:i w:val="0"/>
              </w:rPr>
              <w:t>a</w:t>
            </w:r>
            <w:r>
              <w:rPr>
                <w:i w:val="0"/>
              </w:rPr>
              <w:t>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C15E84" w:rsidP="0025297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114.422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b/>
          <w:i w:val="0"/>
        </w:rPr>
      </w:pPr>
      <w:r w:rsidRPr="00B437A9">
        <w:rPr>
          <w:b/>
          <w:i w:val="0"/>
        </w:rPr>
        <w:t>5.4.3 Stanje potencijalnih obveza po osnovi sudskih sporova</w:t>
      </w:r>
    </w:p>
    <w:p w:rsidR="00B437A9" w:rsidRDefault="00B437A9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Ukupna vrijednost sudskih sporova koji predstavljaju potencijalne obveze za Općinu Posedarje iznose </w:t>
      </w:r>
      <w:r w:rsidR="00C15E84">
        <w:rPr>
          <w:i w:val="0"/>
        </w:rPr>
        <w:t>2.725.388,40</w:t>
      </w:r>
      <w:r>
        <w:rPr>
          <w:i w:val="0"/>
        </w:rPr>
        <w:t xml:space="preserve"> kune i za njih je uspostavljena </w:t>
      </w:r>
      <w:proofErr w:type="spellStart"/>
      <w:r>
        <w:rPr>
          <w:i w:val="0"/>
        </w:rPr>
        <w:t>izvanbilančna</w:t>
      </w:r>
      <w:proofErr w:type="spellEnd"/>
      <w:r>
        <w:rPr>
          <w:i w:val="0"/>
        </w:rPr>
        <w:t xml:space="preserve"> evidencija.</w:t>
      </w:r>
    </w:p>
    <w:p w:rsidR="00B437A9" w:rsidRDefault="00B437A9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0"/>
        <w:gridCol w:w="3033"/>
        <w:gridCol w:w="3019"/>
      </w:tblGrid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TUŽITELJ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PREDMET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VRIJEDNOST</w:t>
            </w:r>
          </w:p>
        </w:tc>
      </w:tr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Telekom izdavaštvo Zagreb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P-121/2015-5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9.900,00</w:t>
            </w:r>
          </w:p>
        </w:tc>
      </w:tr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Mladen Brala Posedarje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P-2400/2016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09477E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148.470,00</w:t>
            </w:r>
          </w:p>
        </w:tc>
      </w:tr>
      <w:tr w:rsidR="00B437A9" w:rsidTr="00CB046C">
        <w:tc>
          <w:tcPr>
            <w:tcW w:w="3096" w:type="dxa"/>
            <w:shd w:val="clear" w:color="auto" w:fill="D9D9D9" w:themeFill="background1" w:themeFillShade="D9"/>
          </w:tcPr>
          <w:p w:rsidR="00B437A9" w:rsidRDefault="00CB046C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Aldo Jurčević Zadar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CB046C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P-276/2015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437A9" w:rsidRDefault="0009477E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637.351,93</w:t>
            </w:r>
          </w:p>
        </w:tc>
      </w:tr>
      <w:tr w:rsidR="00CB046C" w:rsidTr="00CB046C">
        <w:tc>
          <w:tcPr>
            <w:tcW w:w="3096" w:type="dxa"/>
            <w:shd w:val="clear" w:color="auto" w:fill="D9D9D9" w:themeFill="background1" w:themeFillShade="D9"/>
          </w:tcPr>
          <w:p w:rsidR="00CB046C" w:rsidRDefault="00C15E84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Davor Demo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B046C" w:rsidRDefault="00C15E84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P-707/2018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B046C" w:rsidRDefault="00C15E84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114.885,75</w:t>
            </w:r>
          </w:p>
        </w:tc>
      </w:tr>
      <w:tr w:rsidR="0009477E" w:rsidTr="00CB046C">
        <w:tc>
          <w:tcPr>
            <w:tcW w:w="3096" w:type="dxa"/>
            <w:shd w:val="clear" w:color="auto" w:fill="D9D9D9" w:themeFill="background1" w:themeFillShade="D9"/>
          </w:tcPr>
          <w:p w:rsidR="0009477E" w:rsidRDefault="00C15E84" w:rsidP="00954CC4">
            <w:pPr>
              <w:pStyle w:val="Bezproreda"/>
              <w:jc w:val="both"/>
              <w:rPr>
                <w:i w:val="0"/>
              </w:rPr>
            </w:pPr>
            <w:proofErr w:type="spellStart"/>
            <w:r>
              <w:rPr>
                <w:i w:val="0"/>
              </w:rPr>
              <w:t>Colas</w:t>
            </w:r>
            <w:proofErr w:type="spellEnd"/>
            <w:r>
              <w:rPr>
                <w:i w:val="0"/>
              </w:rPr>
              <w:t xml:space="preserve"> Varaždin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09477E" w:rsidRDefault="00C15E84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P-88/2019-30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09477E" w:rsidRDefault="00C15E84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1.795.980,72</w:t>
            </w:r>
          </w:p>
        </w:tc>
      </w:tr>
      <w:tr w:rsidR="00C15E84" w:rsidTr="00C15E84">
        <w:tc>
          <w:tcPr>
            <w:tcW w:w="3096" w:type="dxa"/>
            <w:shd w:val="clear" w:color="auto" w:fill="D9D9D9" w:themeFill="background1" w:themeFillShade="D9"/>
          </w:tcPr>
          <w:p w:rsidR="00C15E84" w:rsidRDefault="00B31DB9" w:rsidP="002A6ED2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Marijan Baričević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15E84" w:rsidRDefault="00B31DB9" w:rsidP="002A6ED2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P-2669/18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C15E84" w:rsidRDefault="00B31DB9" w:rsidP="002A6ED2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9.800,00</w:t>
            </w:r>
          </w:p>
        </w:tc>
      </w:tr>
      <w:tr w:rsidR="00B31DB9" w:rsidTr="00B31DB9">
        <w:tc>
          <w:tcPr>
            <w:tcW w:w="3096" w:type="dxa"/>
            <w:shd w:val="clear" w:color="auto" w:fill="D9D9D9" w:themeFill="background1" w:themeFillShade="D9"/>
          </w:tcPr>
          <w:p w:rsidR="00B31DB9" w:rsidRDefault="00B31DB9" w:rsidP="002A6ED2">
            <w:pPr>
              <w:pStyle w:val="Bezproreda"/>
              <w:jc w:val="both"/>
              <w:rPr>
                <w:i w:val="0"/>
              </w:rPr>
            </w:pPr>
            <w:proofErr w:type="spellStart"/>
            <w:r>
              <w:rPr>
                <w:i w:val="0"/>
              </w:rPr>
              <w:t>Fratres</w:t>
            </w:r>
            <w:proofErr w:type="spellEnd"/>
            <w:r>
              <w:rPr>
                <w:i w:val="0"/>
              </w:rPr>
              <w:t xml:space="preserve"> Zagreb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31DB9" w:rsidRDefault="00B31DB9" w:rsidP="002A6ED2">
            <w:pPr>
              <w:pStyle w:val="Bezproreda"/>
              <w:jc w:val="both"/>
              <w:rPr>
                <w:i w:val="0"/>
              </w:rPr>
            </w:pPr>
            <w:proofErr w:type="spellStart"/>
            <w:r>
              <w:rPr>
                <w:i w:val="0"/>
              </w:rPr>
              <w:t>Ovrv</w:t>
            </w:r>
            <w:proofErr w:type="spellEnd"/>
            <w:r>
              <w:rPr>
                <w:i w:val="0"/>
              </w:rPr>
              <w:t>/6509/2019</w:t>
            </w:r>
          </w:p>
        </w:tc>
        <w:tc>
          <w:tcPr>
            <w:tcW w:w="3096" w:type="dxa"/>
            <w:shd w:val="clear" w:color="auto" w:fill="D9D9D9" w:themeFill="background1" w:themeFillShade="D9"/>
          </w:tcPr>
          <w:p w:rsidR="00B31DB9" w:rsidRDefault="00B31DB9" w:rsidP="002A6ED2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9.000,00</w:t>
            </w:r>
          </w:p>
        </w:tc>
      </w:tr>
    </w:tbl>
    <w:p w:rsidR="00B437A9" w:rsidRDefault="00B437A9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DV Cvrčak Posedarje nema potencijalnih obveza po osnovi sudskih sporova.</w:t>
      </w:r>
    </w:p>
    <w:p w:rsidR="0009477E" w:rsidRDefault="0009477E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S tužiteljima pod rednim brojem 2 i 5 sklopljen je sporazum o obročnoj otplati tako da je u 2018.g. istima uplaćeno i prebačeno 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Pr="00CB046C" w:rsidRDefault="00CB046C" w:rsidP="00954CC4">
      <w:pPr>
        <w:pStyle w:val="Bezproreda"/>
        <w:jc w:val="both"/>
        <w:rPr>
          <w:b/>
          <w:i w:val="0"/>
        </w:rPr>
      </w:pPr>
      <w:r w:rsidRPr="00CB046C">
        <w:rPr>
          <w:b/>
          <w:i w:val="0"/>
        </w:rPr>
        <w:t>5.4.4. Izvršenje po programima iz Posebnog dijela proračuna</w:t>
      </w: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B31DB9">
        <w:rPr>
          <w:i w:val="0"/>
        </w:rPr>
        <w:t>154.572,81</w:t>
      </w:r>
      <w:r w:rsidR="00F7164E">
        <w:rPr>
          <w:i w:val="0"/>
        </w:rPr>
        <w:t>1</w:t>
      </w:r>
      <w:r w:rsidR="00E24B71">
        <w:rPr>
          <w:i w:val="0"/>
        </w:rPr>
        <w:t xml:space="preserve"> kuna i odnose se na naknade članovima predstavničkog tijela u iznosu od </w:t>
      </w:r>
      <w:r w:rsidR="00B31DB9">
        <w:rPr>
          <w:i w:val="0"/>
        </w:rPr>
        <w:t>94.926,81</w:t>
      </w:r>
      <w:r w:rsidR="00E24B71">
        <w:rPr>
          <w:i w:val="0"/>
        </w:rPr>
        <w:t xml:space="preserve"> kunu,  redovite godišnje financiranje političkih stranaka u iznosu od </w:t>
      </w:r>
      <w:r w:rsidR="00B31DB9">
        <w:rPr>
          <w:i w:val="0"/>
        </w:rPr>
        <w:t>21.075,00</w:t>
      </w:r>
      <w:r w:rsidR="00E24B71">
        <w:rPr>
          <w:i w:val="0"/>
        </w:rPr>
        <w:t xml:space="preserve"> kuna, obilježavanje proslave Dana općine Posedarje u iznosu od </w:t>
      </w:r>
      <w:r w:rsidR="00B31DB9">
        <w:rPr>
          <w:i w:val="0"/>
        </w:rPr>
        <w:t>38.571,00</w:t>
      </w:r>
      <w:r w:rsidR="00E24B71">
        <w:rPr>
          <w:i w:val="0"/>
        </w:rPr>
        <w:t xml:space="preserve"> kuna</w:t>
      </w:r>
      <w:r w:rsidR="00F7164E">
        <w:rPr>
          <w:i w:val="0"/>
        </w:rPr>
        <w:t>.</w:t>
      </w:r>
    </w:p>
    <w:p w:rsidR="00E24B71" w:rsidRDefault="00E24B71" w:rsidP="00954CC4">
      <w:pPr>
        <w:pStyle w:val="Bezproreda"/>
        <w:jc w:val="both"/>
        <w:rPr>
          <w:i w:val="0"/>
        </w:rPr>
      </w:pPr>
    </w:p>
    <w:p w:rsidR="00E24B71" w:rsidRDefault="00E24B71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Pr="00E24B71">
        <w:rPr>
          <w:i w:val="0"/>
        </w:rPr>
        <w:t xml:space="preserve">izvršen je u iznosu od </w:t>
      </w:r>
      <w:r w:rsidR="00B31DB9">
        <w:rPr>
          <w:i w:val="0"/>
        </w:rPr>
        <w:t>5.155.436,33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C05437" w:rsidRDefault="00E24B7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Izvršna uprava i administracija u iznosu od </w:t>
      </w:r>
      <w:r w:rsidR="00B31DB9">
        <w:rPr>
          <w:i w:val="0"/>
        </w:rPr>
        <w:t>4.147.704,98</w:t>
      </w:r>
      <w:r>
        <w:rPr>
          <w:i w:val="0"/>
        </w:rPr>
        <w:t xml:space="preserve"> kune a obuhvaća rashode za materijal i energiju, rashode za usluge</w:t>
      </w:r>
      <w:r w:rsidR="00B72C85">
        <w:rPr>
          <w:i w:val="0"/>
        </w:rPr>
        <w:t xml:space="preserve"> </w:t>
      </w:r>
      <w:r>
        <w:rPr>
          <w:i w:val="0"/>
        </w:rPr>
        <w:t xml:space="preserve">(poštarina, telefon, promidžba i informiranje, komunalne usluge, intelektualne i osobne usluge, računalne usluge, premije osiguranja, reprezentacija i ostale usluge) , financijske rashode (bankarske usluge i usluge platnog prometa, zatezne kamate i ostale financijske </w:t>
      </w:r>
      <w:proofErr w:type="spellStart"/>
      <w:r>
        <w:rPr>
          <w:i w:val="0"/>
        </w:rPr>
        <w:t>rashode</w:t>
      </w:r>
      <w:r w:rsidR="00F7164E">
        <w:rPr>
          <w:i w:val="0"/>
        </w:rPr>
        <w:t>,ostale</w:t>
      </w:r>
      <w:proofErr w:type="spellEnd"/>
      <w:r w:rsidR="00F7164E">
        <w:rPr>
          <w:i w:val="0"/>
        </w:rPr>
        <w:t xml:space="preserve"> naknade građanima i kućanstvima iz proračuna te kazne, penale i naknade štete od elementarne nepogode), održavanje građevinskih objekata u vlasništvu općine u iznosu od </w:t>
      </w:r>
      <w:r w:rsidR="00B31DB9">
        <w:rPr>
          <w:i w:val="0"/>
        </w:rPr>
        <w:t>346.269,87</w:t>
      </w:r>
      <w:r w:rsidR="00F7164E">
        <w:rPr>
          <w:i w:val="0"/>
        </w:rPr>
        <w:t xml:space="preserve"> kuna a obuhvaća troškove energije, usluge tekućeg i investicijskog održavanja i komunalne usluge, </w:t>
      </w:r>
      <w:r>
        <w:rPr>
          <w:i w:val="0"/>
        </w:rPr>
        <w:t xml:space="preserve"> </w:t>
      </w:r>
      <w:r w:rsidR="00B72C85">
        <w:rPr>
          <w:i w:val="0"/>
        </w:rPr>
        <w:t xml:space="preserve">  </w:t>
      </w:r>
      <w:r w:rsidR="00F7164E">
        <w:rPr>
          <w:i w:val="0"/>
        </w:rPr>
        <w:t xml:space="preserve">djelatnici za održavanje javnih površina čiji troškovi iznose </w:t>
      </w:r>
      <w:r w:rsidR="00B31DB9">
        <w:rPr>
          <w:i w:val="0"/>
        </w:rPr>
        <w:t>51.403,00</w:t>
      </w:r>
      <w:r w:rsidR="00F7164E">
        <w:rPr>
          <w:i w:val="0"/>
        </w:rPr>
        <w:t xml:space="preserve"> kune, najam vozila  u iznosu od </w:t>
      </w:r>
      <w:r w:rsidR="00B31DB9">
        <w:rPr>
          <w:i w:val="0"/>
        </w:rPr>
        <w:t>62.744,24</w:t>
      </w:r>
      <w:r w:rsidR="00F7164E">
        <w:rPr>
          <w:i w:val="0"/>
        </w:rPr>
        <w:t xml:space="preserve"> kuna, </w:t>
      </w:r>
      <w:r w:rsidR="00B31DB9">
        <w:rPr>
          <w:i w:val="0"/>
        </w:rPr>
        <w:t xml:space="preserve">troškovi financijskog </w:t>
      </w:r>
      <w:proofErr w:type="spellStart"/>
      <w:r w:rsidR="00B31DB9">
        <w:rPr>
          <w:i w:val="0"/>
        </w:rPr>
        <w:t>leasinga</w:t>
      </w:r>
      <w:proofErr w:type="spellEnd"/>
      <w:r w:rsidR="00B31DB9">
        <w:rPr>
          <w:i w:val="0"/>
        </w:rPr>
        <w:t xml:space="preserve"> u iznosu od 34.582,51 </w:t>
      </w:r>
      <w:proofErr w:type="spellStart"/>
      <w:r w:rsidR="00B31DB9">
        <w:rPr>
          <w:i w:val="0"/>
        </w:rPr>
        <w:t>kune</w:t>
      </w:r>
      <w:r w:rsidR="00F7164E">
        <w:rPr>
          <w:i w:val="0"/>
        </w:rPr>
        <w:t>,n</w:t>
      </w:r>
      <w:r w:rsidR="00B72C85">
        <w:rPr>
          <w:i w:val="0"/>
        </w:rPr>
        <w:t>abava</w:t>
      </w:r>
      <w:proofErr w:type="spellEnd"/>
      <w:r w:rsidR="00B72C85">
        <w:rPr>
          <w:i w:val="0"/>
        </w:rPr>
        <w:t xml:space="preserve"> opreme (računalna oprema i uredska oprema) u iznosu od </w:t>
      </w:r>
      <w:r w:rsidR="00B31DB9">
        <w:rPr>
          <w:i w:val="0"/>
        </w:rPr>
        <w:t>7.110,00</w:t>
      </w:r>
      <w:r w:rsidR="00B72C85">
        <w:rPr>
          <w:i w:val="0"/>
        </w:rPr>
        <w:t xml:space="preserve"> kune, nabava opreme za komunalnu infrastrukturu u iznosu od </w:t>
      </w:r>
      <w:r w:rsidR="00B97314">
        <w:rPr>
          <w:i w:val="0"/>
        </w:rPr>
        <w:t>505.621,73</w:t>
      </w:r>
      <w:r w:rsidR="00F7164E">
        <w:rPr>
          <w:i w:val="0"/>
        </w:rPr>
        <w:t xml:space="preserve"> kuna.</w:t>
      </w:r>
    </w:p>
    <w:p w:rsidR="00B72C85" w:rsidRDefault="00F7164E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1003 Zaštita od požar</w:t>
      </w:r>
      <w:r>
        <w:rPr>
          <w:b/>
          <w:i w:val="0"/>
        </w:rPr>
        <w:t xml:space="preserve">a i civilna zaštita </w:t>
      </w:r>
      <w:r>
        <w:rPr>
          <w:i w:val="0"/>
        </w:rPr>
        <w:t xml:space="preserve">izvršen je u iznosu od </w:t>
      </w:r>
      <w:r w:rsidR="00B97314">
        <w:rPr>
          <w:i w:val="0"/>
        </w:rPr>
        <w:t>172.000,00</w:t>
      </w:r>
      <w:r>
        <w:rPr>
          <w:i w:val="0"/>
        </w:rPr>
        <w:t xml:space="preserve"> kuna a čine ga rashodi za financiranje Dobrovoljnog vatrogasnog društva Posedarje u iznosu od</w:t>
      </w:r>
      <w:r w:rsidR="00B97314">
        <w:rPr>
          <w:i w:val="0"/>
        </w:rPr>
        <w:t xml:space="preserve"> 167.000,</w:t>
      </w:r>
      <w:r w:rsidR="00C05437">
        <w:rPr>
          <w:i w:val="0"/>
        </w:rPr>
        <w:t>00</w:t>
      </w:r>
      <w:r>
        <w:rPr>
          <w:i w:val="0"/>
        </w:rPr>
        <w:t xml:space="preserve"> </w:t>
      </w:r>
      <w:r w:rsidR="00B97314">
        <w:rPr>
          <w:i w:val="0"/>
        </w:rPr>
        <w:t xml:space="preserve"> kune te funkcioniranje civilne zaštite u iznosu od 5.000,00 kuna</w:t>
      </w:r>
    </w:p>
    <w:p w:rsidR="00C05437" w:rsidRDefault="00C05437" w:rsidP="00954CC4">
      <w:pPr>
        <w:pStyle w:val="Bezproreda"/>
        <w:jc w:val="both"/>
        <w:rPr>
          <w:b/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>
        <w:rPr>
          <w:b/>
          <w:i w:val="0"/>
        </w:rPr>
        <w:t xml:space="preserve">  </w:t>
      </w:r>
      <w:r w:rsidRPr="000C1393">
        <w:rPr>
          <w:i w:val="0"/>
        </w:rPr>
        <w:t xml:space="preserve">obuhvaća troškove oko organiziranja ljetnih događanja </w:t>
      </w:r>
      <w:r w:rsidR="000C1393" w:rsidRPr="000C1393">
        <w:rPr>
          <w:i w:val="0"/>
        </w:rPr>
        <w:t xml:space="preserve"> koji su iznosili </w:t>
      </w:r>
      <w:r w:rsidR="00B97314">
        <w:rPr>
          <w:i w:val="0"/>
        </w:rPr>
        <w:t>401.156,64</w:t>
      </w:r>
      <w:r w:rsidR="000C1393" w:rsidRPr="000C1393">
        <w:rPr>
          <w:i w:val="0"/>
        </w:rPr>
        <w:t xml:space="preserve"> kune</w:t>
      </w:r>
      <w:r w:rsidR="00C05437">
        <w:rPr>
          <w:i w:val="0"/>
        </w:rPr>
        <w:t>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B9731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lastRenderedPageBreak/>
        <w:t>Program 1006 zaštita okoliša</w:t>
      </w:r>
      <w:r>
        <w:rPr>
          <w:b/>
          <w:i w:val="0"/>
        </w:rPr>
        <w:t xml:space="preserve"> </w:t>
      </w:r>
      <w:r w:rsidR="00B97314">
        <w:rPr>
          <w:b/>
          <w:i w:val="0"/>
        </w:rPr>
        <w:t xml:space="preserve"> iznosi 402.209,37 kune. </w:t>
      </w:r>
      <w:r w:rsidR="00B97314" w:rsidRPr="00B97314">
        <w:rPr>
          <w:i w:val="0"/>
        </w:rPr>
        <w:t>Obuhvaća aktivnost odvoza otpada i deratizaciju u iznosu od 327.209,37 kuna te aktivnost sanacije nelegalnih odlagališta otpada</w:t>
      </w:r>
      <w:r w:rsidR="00B97314">
        <w:rPr>
          <w:b/>
          <w:i w:val="0"/>
        </w:rPr>
        <w:t xml:space="preserve"> u iznosu </w:t>
      </w:r>
      <w:r w:rsidR="00B97314" w:rsidRPr="00B97314">
        <w:rPr>
          <w:i w:val="0"/>
        </w:rPr>
        <w:t xml:space="preserve">od 75.000,00 kuna. </w:t>
      </w:r>
    </w:p>
    <w:p w:rsidR="00B97314" w:rsidRDefault="00B97314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B97314">
        <w:rPr>
          <w:b/>
          <w:i w:val="0"/>
        </w:rPr>
        <w:t>Program 1007 Održavanje komunalne infrastrukture</w:t>
      </w:r>
      <w:r w:rsidRPr="00B97314">
        <w:rPr>
          <w:i w:val="0"/>
        </w:rPr>
        <w:t xml:space="preserve"> ostvaren je u iznosu od</w:t>
      </w:r>
      <w:r w:rsidRPr="000C1393">
        <w:rPr>
          <w:i w:val="0"/>
        </w:rPr>
        <w:t xml:space="preserve"> </w:t>
      </w:r>
      <w:r w:rsidR="00B97314">
        <w:rPr>
          <w:i w:val="0"/>
        </w:rPr>
        <w:t>2.255.359,56</w:t>
      </w:r>
      <w:r w:rsidRPr="000C1393">
        <w:rPr>
          <w:i w:val="0"/>
        </w:rPr>
        <w:t xml:space="preserve"> kune i obuhvaća  održavanje javnih površina u iznosu od </w:t>
      </w:r>
      <w:r w:rsidR="00B97314">
        <w:rPr>
          <w:i w:val="0"/>
        </w:rPr>
        <w:t>388.330,58</w:t>
      </w:r>
      <w:r w:rsidRPr="000C1393">
        <w:rPr>
          <w:i w:val="0"/>
        </w:rPr>
        <w:t xml:space="preserve"> kune</w:t>
      </w:r>
      <w:r>
        <w:rPr>
          <w:i w:val="0"/>
        </w:rPr>
        <w:t>, održavanje nerazvrstanih cesta (lokalnih putova ) u iznosu od</w:t>
      </w:r>
      <w:r w:rsidR="00B97314">
        <w:rPr>
          <w:i w:val="0"/>
        </w:rPr>
        <w:t xml:space="preserve"> 345.346,73</w:t>
      </w:r>
      <w:r>
        <w:rPr>
          <w:i w:val="0"/>
        </w:rPr>
        <w:t xml:space="preserve"> kune, održavanje javne rasvjete u iznosu od </w:t>
      </w:r>
      <w:r w:rsidR="00B97314">
        <w:rPr>
          <w:i w:val="0"/>
        </w:rPr>
        <w:t>698.714,64</w:t>
      </w:r>
      <w:r>
        <w:rPr>
          <w:i w:val="0"/>
        </w:rPr>
        <w:t xml:space="preserve"> kuna, opskrba mještana vodom s hidranata u iznosu od </w:t>
      </w:r>
      <w:r w:rsidR="00B97314">
        <w:rPr>
          <w:i w:val="0"/>
        </w:rPr>
        <w:t>443.875,85</w:t>
      </w:r>
      <w:r>
        <w:rPr>
          <w:i w:val="0"/>
        </w:rPr>
        <w:t xml:space="preserve"> kuna, održavanje plaža u iznosu od </w:t>
      </w:r>
      <w:r w:rsidR="00B97314">
        <w:rPr>
          <w:i w:val="0"/>
        </w:rPr>
        <w:t>304.960,16</w:t>
      </w:r>
      <w:r>
        <w:rPr>
          <w:i w:val="0"/>
        </w:rPr>
        <w:t xml:space="preserve"> kuna te održavanje groblja u iznosu od</w:t>
      </w:r>
      <w:r w:rsidR="00B97314">
        <w:rPr>
          <w:i w:val="0"/>
        </w:rPr>
        <w:t xml:space="preserve">39.101,25 </w:t>
      </w:r>
      <w:proofErr w:type="spellStart"/>
      <w:r w:rsidR="00B97314">
        <w:rPr>
          <w:i w:val="0"/>
        </w:rPr>
        <w:t>kuna,održavanje</w:t>
      </w:r>
      <w:proofErr w:type="spellEnd"/>
      <w:r w:rsidR="00B97314">
        <w:rPr>
          <w:i w:val="0"/>
        </w:rPr>
        <w:t xml:space="preserve"> vodovodne mreže u iznosu od 35.030,35 kuna.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81CE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B97314">
        <w:rPr>
          <w:i w:val="0"/>
        </w:rPr>
        <w:t>2.002.360,15</w:t>
      </w:r>
      <w:r w:rsidRPr="00023044">
        <w:rPr>
          <w:i w:val="0"/>
        </w:rPr>
        <w:t xml:space="preserve"> kuna a obuhvaća troškove oko izgradnje</w:t>
      </w:r>
      <w:r w:rsidR="00081CE4">
        <w:rPr>
          <w:i w:val="0"/>
        </w:rPr>
        <w:t xml:space="preserve"> dječjih igrališta u iznosu od </w:t>
      </w:r>
      <w:r w:rsidRPr="00023044">
        <w:rPr>
          <w:i w:val="0"/>
        </w:rPr>
        <w:t xml:space="preserve"> </w:t>
      </w:r>
      <w:r w:rsidR="00081CE4">
        <w:rPr>
          <w:i w:val="0"/>
        </w:rPr>
        <w:t>59.900,00 kuna, izrada urbanističkih planova i projektne dokumentacije u iznosu od 330.250,00 kuna, izgradnja prometnica u iznosu od 326.480,63 kuna, izgradnja autobusnih stajališta (kućica) u iznosu od 62.625,00 kuna, izgradnja parkinga u iznosu od 259.026,75 kuna, uređenje glavnog parka na Obali Ante Damira Klanca u iznosu od 468.554,27 kuna, izgradnja vanjske rasvjete u iznosu od 495.523,450 kuna.</w:t>
      </w:r>
    </w:p>
    <w:p w:rsidR="00081CE4" w:rsidRDefault="00081CE4" w:rsidP="00954CC4">
      <w:pPr>
        <w:pStyle w:val="Bezproreda"/>
        <w:jc w:val="both"/>
        <w:rPr>
          <w:i w:val="0"/>
        </w:rPr>
      </w:pPr>
    </w:p>
    <w:p w:rsidR="00023044" w:rsidRDefault="00B87638" w:rsidP="00954CC4">
      <w:pPr>
        <w:pStyle w:val="Bezproreda"/>
        <w:jc w:val="both"/>
        <w:rPr>
          <w:i w:val="0"/>
        </w:rPr>
      </w:pPr>
      <w:r w:rsidRPr="00023044">
        <w:rPr>
          <w:b/>
          <w:i w:val="0"/>
        </w:rPr>
        <w:t xml:space="preserve"> </w:t>
      </w:r>
      <w:r w:rsidR="00023044" w:rsidRPr="00023044">
        <w:rPr>
          <w:b/>
          <w:i w:val="0"/>
        </w:rPr>
        <w:t>Program 1009</w:t>
      </w:r>
      <w:r w:rsidR="00023044">
        <w:rPr>
          <w:b/>
          <w:i w:val="0"/>
        </w:rPr>
        <w:t xml:space="preserve"> Javne potrebe u kulturi </w:t>
      </w:r>
      <w:r w:rsidR="00023044" w:rsidRPr="00023044">
        <w:rPr>
          <w:i w:val="0"/>
        </w:rPr>
        <w:t xml:space="preserve">ostvaren je u iznosu od </w:t>
      </w:r>
      <w:r w:rsidR="00081CE4">
        <w:rPr>
          <w:i w:val="0"/>
        </w:rPr>
        <w:t>97.000,00 kuna</w:t>
      </w:r>
      <w:r w:rsidR="00023044" w:rsidRPr="00023044">
        <w:rPr>
          <w:i w:val="0"/>
        </w:rPr>
        <w:t xml:space="preserve"> a obuhvaća pomoći udrugama</w:t>
      </w:r>
      <w:r w:rsidR="00EF1CB9">
        <w:rPr>
          <w:i w:val="0"/>
        </w:rPr>
        <w:t xml:space="preserve"> i to KUD Sokolovi iz </w:t>
      </w:r>
      <w:proofErr w:type="spellStart"/>
      <w:r w:rsidR="00EF1CB9">
        <w:rPr>
          <w:i w:val="0"/>
        </w:rPr>
        <w:t>Slivnice</w:t>
      </w:r>
      <w:proofErr w:type="spellEnd"/>
      <w:r w:rsidR="00EF1CB9">
        <w:rPr>
          <w:i w:val="0"/>
        </w:rPr>
        <w:t xml:space="preserve"> u iznosu od </w:t>
      </w:r>
      <w:r w:rsidR="00BD182D">
        <w:rPr>
          <w:i w:val="0"/>
        </w:rPr>
        <w:t xml:space="preserve">9.500,00 </w:t>
      </w:r>
      <w:r w:rsidR="00EF1CB9">
        <w:rPr>
          <w:i w:val="0"/>
        </w:rPr>
        <w:t xml:space="preserve">kuna, Udruga </w:t>
      </w:r>
      <w:proofErr w:type="spellStart"/>
      <w:r w:rsidR="00EF1CB9">
        <w:rPr>
          <w:i w:val="0"/>
        </w:rPr>
        <w:t>Čelinka</w:t>
      </w:r>
      <w:proofErr w:type="spellEnd"/>
      <w:r w:rsidR="00EF1CB9">
        <w:rPr>
          <w:i w:val="0"/>
        </w:rPr>
        <w:t xml:space="preserve"> iz </w:t>
      </w:r>
      <w:proofErr w:type="spellStart"/>
      <w:r w:rsidR="00EF1CB9">
        <w:rPr>
          <w:i w:val="0"/>
        </w:rPr>
        <w:t>Posedarja</w:t>
      </w:r>
      <w:proofErr w:type="spellEnd"/>
      <w:r w:rsidR="00EF1CB9">
        <w:rPr>
          <w:i w:val="0"/>
        </w:rPr>
        <w:t xml:space="preserve"> u iznosu od </w:t>
      </w:r>
      <w:r>
        <w:rPr>
          <w:i w:val="0"/>
        </w:rPr>
        <w:t>5</w:t>
      </w:r>
      <w:r w:rsidR="00EF1CB9">
        <w:rPr>
          <w:i w:val="0"/>
        </w:rPr>
        <w:t>0.000,00 kuna te Udruga Posedarje moje u iznosu od 1</w:t>
      </w:r>
      <w:r w:rsidR="00BD182D">
        <w:rPr>
          <w:i w:val="0"/>
        </w:rPr>
        <w:t xml:space="preserve">5.000,00 kuna udruga </w:t>
      </w:r>
      <w:proofErr w:type="spellStart"/>
      <w:r w:rsidR="00BD182D">
        <w:rPr>
          <w:i w:val="0"/>
        </w:rPr>
        <w:t>Vinejrac</w:t>
      </w:r>
      <w:proofErr w:type="spellEnd"/>
      <w:r w:rsidR="00BD182D">
        <w:rPr>
          <w:i w:val="0"/>
        </w:rPr>
        <w:t xml:space="preserve"> iz </w:t>
      </w:r>
      <w:proofErr w:type="spellStart"/>
      <w:r w:rsidR="00BD182D">
        <w:rPr>
          <w:i w:val="0"/>
        </w:rPr>
        <w:t>Vinjerca</w:t>
      </w:r>
      <w:proofErr w:type="spellEnd"/>
      <w:r w:rsidR="00BD182D">
        <w:rPr>
          <w:i w:val="0"/>
        </w:rPr>
        <w:t xml:space="preserve"> u iznosu od 2.500,00 kuna te sufinanciranje bibliobusa u iznosu od 5.000,00 kuna.</w:t>
      </w:r>
      <w:r w:rsidR="00EF1CB9">
        <w:rPr>
          <w:i w:val="0"/>
        </w:rPr>
        <w:t xml:space="preserve"> Iznos od </w:t>
      </w:r>
      <w:r w:rsidR="00BD182D">
        <w:rPr>
          <w:i w:val="0"/>
        </w:rPr>
        <w:t>15.000,00</w:t>
      </w:r>
      <w:r w:rsidR="00EF1CB9">
        <w:rPr>
          <w:i w:val="0"/>
        </w:rPr>
        <w:t xml:space="preserve"> kuna dodijeljen je Župnom uredu </w:t>
      </w:r>
      <w:proofErr w:type="spellStart"/>
      <w:r w:rsidR="00BD182D">
        <w:rPr>
          <w:i w:val="0"/>
        </w:rPr>
        <w:t>Vinjerac</w:t>
      </w:r>
      <w:proofErr w:type="spellEnd"/>
      <w:r w:rsidR="00BD182D">
        <w:rPr>
          <w:i w:val="0"/>
        </w:rPr>
        <w:t xml:space="preserve"> za obnovu crkve Sveti Ante u </w:t>
      </w:r>
      <w:proofErr w:type="spellStart"/>
      <w:r w:rsidR="00BD182D">
        <w:rPr>
          <w:i w:val="0"/>
        </w:rPr>
        <w:t>Vinjercu</w:t>
      </w:r>
      <w:proofErr w:type="spellEnd"/>
      <w:r w:rsidR="00BD182D">
        <w:rPr>
          <w:i w:val="0"/>
        </w:rPr>
        <w:t>.</w:t>
      </w:r>
    </w:p>
    <w:p w:rsidR="00EF1CB9" w:rsidRDefault="00EF1CB9" w:rsidP="00CE7F21">
      <w:pPr>
        <w:pStyle w:val="Bezproreda"/>
        <w:jc w:val="both"/>
        <w:rPr>
          <w:b/>
          <w:i w:val="0"/>
        </w:rPr>
      </w:pPr>
    </w:p>
    <w:p w:rsidR="00CE7F21" w:rsidRDefault="00EF1CB9" w:rsidP="00CE7F21">
      <w:pPr>
        <w:pStyle w:val="Grafikeoznake"/>
        <w:numPr>
          <w:ilvl w:val="0"/>
          <w:numId w:val="0"/>
        </w:numPr>
        <w:jc w:val="both"/>
      </w:pPr>
      <w:r w:rsidRPr="00EF1CB9">
        <w:rPr>
          <w:b/>
        </w:rPr>
        <w:t>Program 1010 javne potrebe u sportu</w:t>
      </w:r>
      <w:r>
        <w:rPr>
          <w:b/>
        </w:rPr>
        <w:t xml:space="preserve"> </w:t>
      </w:r>
      <w:r w:rsidRPr="00EF1CB9">
        <w:t xml:space="preserve">izvršen je u iznosu od </w:t>
      </w:r>
      <w:r w:rsidR="00BD182D">
        <w:t>1.159.737,50</w:t>
      </w:r>
      <w:r w:rsidRPr="00EF1CB9">
        <w:t xml:space="preserve"> kune a sredstva su dodijeljena sportski udrugama i to: Nogometni klub Hrvatski vitez  iz Pose</w:t>
      </w:r>
      <w:r>
        <w:t xml:space="preserve">darje u iznosu od </w:t>
      </w:r>
      <w:r w:rsidR="00BD182D">
        <w:t>200.000,00</w:t>
      </w:r>
      <w:r>
        <w:t xml:space="preserve"> kuna, Nogometni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u iznos</w:t>
      </w:r>
      <w:r w:rsidR="00CE7F21">
        <w:t>u od 1</w:t>
      </w:r>
      <w:r w:rsidR="00BD182D">
        <w:t>0</w:t>
      </w:r>
      <w:r w:rsidR="00B87638">
        <w:t>0</w:t>
      </w:r>
      <w:r w:rsidR="00CE7F21">
        <w:t xml:space="preserve">.000,00 kuna , Odbojkaški </w:t>
      </w:r>
      <w:r>
        <w:t xml:space="preserve"> klub Posed</w:t>
      </w:r>
      <w:r w:rsidR="00CE7F21">
        <w:t>a</w:t>
      </w:r>
      <w:r>
        <w:t xml:space="preserve">rje </w:t>
      </w:r>
      <w:r w:rsidR="00BD182D">
        <w:t>2</w:t>
      </w:r>
      <w:r>
        <w:t xml:space="preserve">.000,00 kuna, Boćarski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20.000,00 kuna, Boćarski klub </w:t>
      </w:r>
      <w:proofErr w:type="spellStart"/>
      <w:r>
        <w:t>Slivnica</w:t>
      </w:r>
      <w:proofErr w:type="spellEnd"/>
      <w:r>
        <w:t xml:space="preserve"> iz </w:t>
      </w:r>
      <w:proofErr w:type="spellStart"/>
      <w:r>
        <w:t>Slivnice</w:t>
      </w:r>
      <w:proofErr w:type="spellEnd"/>
      <w:r>
        <w:t xml:space="preserve"> 20.000,00 kuna, Boćarski klub Sveti Nikola iz Islama Latinskog u iznosu od </w:t>
      </w:r>
      <w:r w:rsidR="00BD182D">
        <w:t>20</w:t>
      </w:r>
      <w:r>
        <w:t xml:space="preserve">.000,00 kuna, Hrvatski atletski klub Sveti Ante iz </w:t>
      </w:r>
      <w:proofErr w:type="spellStart"/>
      <w:r>
        <w:t>Poličnika</w:t>
      </w:r>
      <w:proofErr w:type="spellEnd"/>
      <w:r>
        <w:t xml:space="preserve"> </w:t>
      </w:r>
      <w:r w:rsidR="003A6622">
        <w:t>4</w:t>
      </w:r>
      <w:r>
        <w:t xml:space="preserve">.000,00 kuna, Malonogometni klub </w:t>
      </w:r>
      <w:proofErr w:type="spellStart"/>
      <w:r>
        <w:t>Slivnica</w:t>
      </w:r>
      <w:proofErr w:type="spellEnd"/>
      <w:r>
        <w:t xml:space="preserve"> iz </w:t>
      </w:r>
      <w:proofErr w:type="spellStart"/>
      <w:r>
        <w:t>Slivnice</w:t>
      </w:r>
      <w:proofErr w:type="spellEnd"/>
      <w:r>
        <w:t xml:space="preserve"> </w:t>
      </w:r>
      <w:r w:rsidR="00BD182D">
        <w:t>8</w:t>
      </w:r>
      <w:r>
        <w:t xml:space="preserve">.000,00 kuna, Košarkaški savez zadarske županije </w:t>
      </w:r>
      <w:r w:rsidR="003A6622">
        <w:t>1</w:t>
      </w:r>
      <w:r>
        <w:t xml:space="preserve">5.000,00 kuna, </w:t>
      </w:r>
      <w:r w:rsidR="003A6622">
        <w:t>Kinološka udruga Posedarje 5.000,00 kuna, Biciklistički klub Posedarje 10.000,00 kuna.</w:t>
      </w:r>
    </w:p>
    <w:p w:rsidR="00BD182D" w:rsidRDefault="00BD182D" w:rsidP="00CE7F21">
      <w:pPr>
        <w:pStyle w:val="Grafikeoznake"/>
        <w:numPr>
          <w:ilvl w:val="0"/>
          <w:numId w:val="0"/>
        </w:numPr>
        <w:jc w:val="both"/>
      </w:pPr>
      <w:r>
        <w:t xml:space="preserve">Navedeni program obuhvaća i kapitalni projekt  Izgradnje sportskih objekata  koji se odnosi na gradnju pomoćnog sportskog terena u </w:t>
      </w:r>
      <w:proofErr w:type="spellStart"/>
      <w:r>
        <w:t>Posedarju</w:t>
      </w:r>
      <w:proofErr w:type="spellEnd"/>
      <w:r>
        <w:t xml:space="preserve"> u iznosu od 755.737,50 kuna.</w:t>
      </w:r>
    </w:p>
    <w:p w:rsidR="00CE7F21" w:rsidRPr="00CE7F21" w:rsidRDefault="00CE7F21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1011 javne potrebe u školstvu</w:t>
      </w:r>
      <w:r w:rsidRPr="00CE7F21">
        <w:rPr>
          <w:i w:val="0"/>
        </w:rPr>
        <w:t xml:space="preserve"> ostvaren je u iznosu od </w:t>
      </w:r>
      <w:r w:rsidR="00BD182D">
        <w:rPr>
          <w:i w:val="0"/>
        </w:rPr>
        <w:t>2.642.431,12</w:t>
      </w:r>
      <w:r w:rsidRPr="00CE7F21">
        <w:rPr>
          <w:i w:val="0"/>
        </w:rPr>
        <w:t xml:space="preserve"> a obuhvaća aktivnost osnovno, srednjoškolsko i visoko obrazovanje u iznosu od </w:t>
      </w:r>
      <w:r w:rsidR="00163360">
        <w:rPr>
          <w:i w:val="0"/>
        </w:rPr>
        <w:t>455.266,96</w:t>
      </w:r>
      <w:r w:rsidRPr="00CE7F21">
        <w:rPr>
          <w:i w:val="0"/>
        </w:rPr>
        <w:t xml:space="preserve"> kuna (</w:t>
      </w:r>
      <w:r>
        <w:rPr>
          <w:i w:val="0"/>
        </w:rPr>
        <w:t xml:space="preserve">stipendije, naknade za subvencioniranje kupnje udžbenika, sufinanciranje cijene prijevoza, kupnja likovnih kutija za učenike osnovne škole), </w:t>
      </w:r>
      <w:r w:rsidR="00163360">
        <w:rPr>
          <w:i w:val="0"/>
        </w:rPr>
        <w:t xml:space="preserve"> kapitalni projekt Rekonstrukcije zgrade dječjeg vrtića u iznosu od 416.875,87 kuna, </w:t>
      </w:r>
      <w:r>
        <w:rPr>
          <w:i w:val="0"/>
        </w:rPr>
        <w:t xml:space="preserve">financiranje DV Cvrčak Posedarje   u iznosu od </w:t>
      </w:r>
      <w:r w:rsidR="00163360">
        <w:rPr>
          <w:i w:val="0"/>
        </w:rPr>
        <w:t xml:space="preserve">1.770.288,29  od čega Općina financira vrtić iz svog  proračuna u iznosu od 1.225.716,00 kuna </w:t>
      </w:r>
      <w:r>
        <w:rPr>
          <w:i w:val="0"/>
        </w:rPr>
        <w:t xml:space="preserve"> te vlastita sredstva DV Cvrčak Posedarje u iznosu od </w:t>
      </w:r>
      <w:r w:rsidR="00163360">
        <w:rPr>
          <w:i w:val="0"/>
        </w:rPr>
        <w:t>544.572,29</w:t>
      </w:r>
      <w:r>
        <w:rPr>
          <w:i w:val="0"/>
        </w:rPr>
        <w:t xml:space="preserve"> kune.</w:t>
      </w:r>
    </w:p>
    <w:p w:rsidR="00CE7F21" w:rsidRDefault="00CE7F21" w:rsidP="00CE7F21">
      <w:pPr>
        <w:pStyle w:val="Bezproreda"/>
        <w:jc w:val="both"/>
        <w:rPr>
          <w:i w:val="0"/>
        </w:rPr>
      </w:pPr>
    </w:p>
    <w:p w:rsidR="00CE7F21" w:rsidRDefault="00CE7F21" w:rsidP="003A6622">
      <w:pPr>
        <w:pStyle w:val="Bezproreda"/>
        <w:jc w:val="both"/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 xml:space="preserve">ostvaren je u iznosu od </w:t>
      </w:r>
      <w:r w:rsidR="00163360">
        <w:rPr>
          <w:i w:val="0"/>
        </w:rPr>
        <w:t>278.706,20</w:t>
      </w:r>
      <w:r w:rsidRPr="00FE1F7E">
        <w:rPr>
          <w:i w:val="0"/>
        </w:rPr>
        <w:t xml:space="preserve"> kuna</w:t>
      </w:r>
      <w:r w:rsidR="00FE1F7E">
        <w:rPr>
          <w:i w:val="0"/>
        </w:rPr>
        <w:t xml:space="preserve"> a odnosi se </w:t>
      </w:r>
      <w:r w:rsidR="003A6622">
        <w:rPr>
          <w:i w:val="0"/>
        </w:rPr>
        <w:t xml:space="preserve">pomoći proračunskim korisnicima drugih proračuna u iznosu od </w:t>
      </w:r>
      <w:r w:rsidR="00163360">
        <w:rPr>
          <w:i w:val="0"/>
        </w:rPr>
        <w:t>32.400,00</w:t>
      </w:r>
      <w:r w:rsidR="003A6622">
        <w:rPr>
          <w:i w:val="0"/>
        </w:rPr>
        <w:t xml:space="preserve"> kuna, </w:t>
      </w:r>
      <w:r w:rsidR="00FE1F7E">
        <w:rPr>
          <w:i w:val="0"/>
        </w:rPr>
        <w:t xml:space="preserve">naknade za novorođenu djecu u iznosu od </w:t>
      </w:r>
      <w:r w:rsidR="00163360">
        <w:rPr>
          <w:i w:val="0"/>
        </w:rPr>
        <w:t>110.000,00</w:t>
      </w:r>
      <w:r w:rsidR="00FE1F7E">
        <w:rPr>
          <w:i w:val="0"/>
        </w:rPr>
        <w:t xml:space="preserve"> </w:t>
      </w:r>
      <w:proofErr w:type="spellStart"/>
      <w:r w:rsidR="00FE1F7E">
        <w:rPr>
          <w:i w:val="0"/>
        </w:rPr>
        <w:t>kuna</w:t>
      </w:r>
      <w:r w:rsidR="003A6622">
        <w:rPr>
          <w:i w:val="0"/>
        </w:rPr>
        <w:t>,naknade</w:t>
      </w:r>
      <w:proofErr w:type="spellEnd"/>
      <w:r w:rsidR="003A6622">
        <w:rPr>
          <w:i w:val="0"/>
        </w:rPr>
        <w:t xml:space="preserve"> građanima i kućanstvima u naravi u iznosu od </w:t>
      </w:r>
      <w:r w:rsidR="00163360">
        <w:rPr>
          <w:i w:val="0"/>
        </w:rPr>
        <w:t>47.506,20</w:t>
      </w:r>
      <w:r w:rsidR="003A6622">
        <w:rPr>
          <w:i w:val="0"/>
        </w:rPr>
        <w:t xml:space="preserve"> kune te tekuće donacije u  novcu u iznosu od </w:t>
      </w:r>
      <w:r w:rsidR="00163360">
        <w:rPr>
          <w:i w:val="0"/>
        </w:rPr>
        <w:t>88.800,00</w:t>
      </w:r>
      <w:r w:rsidR="003A6622">
        <w:rPr>
          <w:i w:val="0"/>
        </w:rPr>
        <w:t xml:space="preserve"> kuna. </w:t>
      </w:r>
    </w:p>
    <w:p w:rsidR="00EF1CB9" w:rsidRPr="00EF1CB9" w:rsidRDefault="00EF1CB9" w:rsidP="00CE7F21">
      <w:pPr>
        <w:pStyle w:val="Grafikeoznake"/>
        <w:numPr>
          <w:ilvl w:val="0"/>
          <w:numId w:val="0"/>
        </w:numPr>
      </w:pPr>
    </w:p>
    <w:p w:rsidR="00EF1CB9" w:rsidRDefault="00EF1CB9" w:rsidP="00EF1CB9">
      <w:pPr>
        <w:pStyle w:val="Bezproreda"/>
        <w:rPr>
          <w:i w:val="0"/>
        </w:rPr>
      </w:pPr>
    </w:p>
    <w:p w:rsidR="00CE7F21" w:rsidRPr="00EF1CB9" w:rsidRDefault="00CE7F21" w:rsidP="00EF1CB9">
      <w:pPr>
        <w:pStyle w:val="Bezproreda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Pr="000C1393" w:rsidRDefault="000C1393" w:rsidP="00954CC4">
      <w:pPr>
        <w:pStyle w:val="Bezproreda"/>
        <w:jc w:val="both"/>
        <w:rPr>
          <w:i w:val="0"/>
        </w:rPr>
      </w:pPr>
    </w:p>
    <w:p w:rsidR="00E24B71" w:rsidRPr="000C1393" w:rsidRDefault="00E24B71" w:rsidP="00954CC4">
      <w:pPr>
        <w:pStyle w:val="Bezproreda"/>
        <w:jc w:val="both"/>
        <w:rPr>
          <w:i w:val="0"/>
        </w:rPr>
      </w:pPr>
    </w:p>
    <w:p w:rsidR="00CB046C" w:rsidRPr="000C1393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B437A9" w:rsidRPr="00B437A9" w:rsidRDefault="00B437A9" w:rsidP="00954CC4">
      <w:pPr>
        <w:pStyle w:val="Bezproreda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4DCB"/>
    <w:rsid w:val="00023044"/>
    <w:rsid w:val="00040EB1"/>
    <w:rsid w:val="00081CE4"/>
    <w:rsid w:val="00090B6F"/>
    <w:rsid w:val="0009477E"/>
    <w:rsid w:val="000B7148"/>
    <w:rsid w:val="000C1393"/>
    <w:rsid w:val="00163360"/>
    <w:rsid w:val="00182BBB"/>
    <w:rsid w:val="00196F70"/>
    <w:rsid w:val="00226FD3"/>
    <w:rsid w:val="0023421A"/>
    <w:rsid w:val="00254F4B"/>
    <w:rsid w:val="002A61EC"/>
    <w:rsid w:val="002A6E99"/>
    <w:rsid w:val="002E2D53"/>
    <w:rsid w:val="002E53C1"/>
    <w:rsid w:val="00320C98"/>
    <w:rsid w:val="00321DB4"/>
    <w:rsid w:val="00324669"/>
    <w:rsid w:val="0035316F"/>
    <w:rsid w:val="00377FCE"/>
    <w:rsid w:val="00387E58"/>
    <w:rsid w:val="003A3154"/>
    <w:rsid w:val="003A6622"/>
    <w:rsid w:val="003B1995"/>
    <w:rsid w:val="003B530B"/>
    <w:rsid w:val="003B726B"/>
    <w:rsid w:val="003E7B44"/>
    <w:rsid w:val="0043235A"/>
    <w:rsid w:val="0044556C"/>
    <w:rsid w:val="00486A61"/>
    <w:rsid w:val="004A406A"/>
    <w:rsid w:val="004A4B7E"/>
    <w:rsid w:val="004C76D8"/>
    <w:rsid w:val="004D5D9E"/>
    <w:rsid w:val="004F56B6"/>
    <w:rsid w:val="0052643A"/>
    <w:rsid w:val="00526E64"/>
    <w:rsid w:val="00546044"/>
    <w:rsid w:val="00571CAC"/>
    <w:rsid w:val="00590900"/>
    <w:rsid w:val="005A29C0"/>
    <w:rsid w:val="005D4CA6"/>
    <w:rsid w:val="005E0C0F"/>
    <w:rsid w:val="005E3748"/>
    <w:rsid w:val="005F6DB0"/>
    <w:rsid w:val="00611F78"/>
    <w:rsid w:val="00617B71"/>
    <w:rsid w:val="006644B1"/>
    <w:rsid w:val="00681589"/>
    <w:rsid w:val="006C06DF"/>
    <w:rsid w:val="006C7F5F"/>
    <w:rsid w:val="006E2420"/>
    <w:rsid w:val="006F4638"/>
    <w:rsid w:val="00730296"/>
    <w:rsid w:val="00735F15"/>
    <w:rsid w:val="007366CC"/>
    <w:rsid w:val="007727DC"/>
    <w:rsid w:val="00793C8E"/>
    <w:rsid w:val="007E22B5"/>
    <w:rsid w:val="007E30F5"/>
    <w:rsid w:val="00815F4E"/>
    <w:rsid w:val="00854FE2"/>
    <w:rsid w:val="00856721"/>
    <w:rsid w:val="008A64A1"/>
    <w:rsid w:val="008C497E"/>
    <w:rsid w:val="008C5709"/>
    <w:rsid w:val="008D4676"/>
    <w:rsid w:val="008D4BE5"/>
    <w:rsid w:val="008D6F65"/>
    <w:rsid w:val="00951156"/>
    <w:rsid w:val="00954CC4"/>
    <w:rsid w:val="00967BA2"/>
    <w:rsid w:val="0097241B"/>
    <w:rsid w:val="009A6903"/>
    <w:rsid w:val="009D3903"/>
    <w:rsid w:val="009D7B59"/>
    <w:rsid w:val="009F2C5F"/>
    <w:rsid w:val="00A509B4"/>
    <w:rsid w:val="00A92E91"/>
    <w:rsid w:val="00AD4AF7"/>
    <w:rsid w:val="00AD69BF"/>
    <w:rsid w:val="00B31DB9"/>
    <w:rsid w:val="00B437A9"/>
    <w:rsid w:val="00B56D04"/>
    <w:rsid w:val="00B72C85"/>
    <w:rsid w:val="00B87638"/>
    <w:rsid w:val="00B97314"/>
    <w:rsid w:val="00BD182D"/>
    <w:rsid w:val="00C04425"/>
    <w:rsid w:val="00C05437"/>
    <w:rsid w:val="00C15E84"/>
    <w:rsid w:val="00C337AF"/>
    <w:rsid w:val="00C35885"/>
    <w:rsid w:val="00C8508A"/>
    <w:rsid w:val="00CB046C"/>
    <w:rsid w:val="00CE7F21"/>
    <w:rsid w:val="00D3121F"/>
    <w:rsid w:val="00D76212"/>
    <w:rsid w:val="00DB0658"/>
    <w:rsid w:val="00DC0512"/>
    <w:rsid w:val="00DD1170"/>
    <w:rsid w:val="00DD6708"/>
    <w:rsid w:val="00DF16FF"/>
    <w:rsid w:val="00E137C6"/>
    <w:rsid w:val="00E24B71"/>
    <w:rsid w:val="00E641CF"/>
    <w:rsid w:val="00E723CA"/>
    <w:rsid w:val="00EA0B08"/>
    <w:rsid w:val="00EB2B37"/>
    <w:rsid w:val="00EE6842"/>
    <w:rsid w:val="00EF1CB9"/>
    <w:rsid w:val="00F43C0B"/>
    <w:rsid w:val="00F7164E"/>
    <w:rsid w:val="00F95ACE"/>
    <w:rsid w:val="00FD37E9"/>
    <w:rsid w:val="00FE1F7E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5CF"/>
  <w15:docId w15:val="{2F7CB31B-2B9E-4ADE-BE20-EE90074F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59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2019-05-20T07:30:00Z</cp:lastPrinted>
  <dcterms:created xsi:type="dcterms:W3CDTF">2020-05-20T11:23:00Z</dcterms:created>
  <dcterms:modified xsi:type="dcterms:W3CDTF">2020-06-01T06:12:00Z</dcterms:modified>
</cp:coreProperties>
</file>