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CA" w:rsidRPr="001C2B88" w:rsidRDefault="00632ACA" w:rsidP="00632ACA">
      <w:pPr>
        <w:rPr>
          <w:rFonts w:ascii="Times New Roman" w:hAnsi="Times New Roman" w:cs="Times New Roman"/>
          <w:b/>
          <w:sz w:val="24"/>
          <w:szCs w:val="24"/>
        </w:rPr>
      </w:pPr>
    </w:p>
    <w:p w:rsidR="00632ACA" w:rsidRDefault="00632ACA" w:rsidP="00632ACA">
      <w:pPr>
        <w:pStyle w:val="Bezproreda"/>
        <w:jc w:val="center"/>
        <w:rPr>
          <w:rFonts w:ascii="Bahnschrift SemiBold SemiConden" w:hAnsi="Bahnschrift SemiBold SemiConden" w:cs="Times New Roman"/>
          <w:b/>
          <w:smallCaps/>
          <w:sz w:val="32"/>
          <w:szCs w:val="32"/>
        </w:rPr>
      </w:pPr>
      <w:r>
        <w:rPr>
          <w:rFonts w:ascii="Bahnschrift SemiBold SemiConden" w:hAnsi="Bahnschrift SemiBold SemiConden" w:cs="Times New Roman"/>
          <w:b/>
          <w:smallCaps/>
          <w:sz w:val="32"/>
          <w:szCs w:val="32"/>
        </w:rPr>
        <w:t>OBRAZLOŽENJE PLANA PRORAČUNA OPĆINE POSEDARJE ZA 2021. GODINU SA PROJEKCIJAMA ZA 2022 I 2023. GODINU</w:t>
      </w:r>
    </w:p>
    <w:p w:rsidR="00632ACA" w:rsidRDefault="00632ACA" w:rsidP="00632ACA">
      <w:pPr>
        <w:pStyle w:val="Bezproreda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ACA" w:rsidRDefault="00632ACA" w:rsidP="00632ACA">
      <w:pPr>
        <w:rPr>
          <w:rFonts w:ascii="Times New Roman" w:hAnsi="Times New Roman" w:cs="Times New Roman"/>
          <w:b/>
          <w:sz w:val="24"/>
          <w:szCs w:val="24"/>
        </w:rPr>
      </w:pPr>
    </w:p>
    <w:p w:rsidR="00632ACA" w:rsidRDefault="00632ACA" w:rsidP="00632ACA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1. UVOD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odredbama Zakona o proračunu (NN 87/08, 136/12 i 15/15), Pravilnika o proračunskim klasifikacijama (NN 26/10, 120/13 I 1/20, te Pravilnika o proračunskom računovodstvu i računskom planu (NN 124/14, 115/15, 87/16, 3/18 I 126/19) izrađen je prijedlog proračuna Općine Posedarje 2021. godinu te projekcije za 2022. i 2023. godinu.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proračunskom kalendaru proces izrade proračuna na državnoj i  lokalnoj razini započinje donošenjem Smjernica ekonomske i fiskalne politike za trogodišnje razdoblje, koje Vlada donosi temeljem strateških planova, Nacionalnog programa reformi i Programa konvergencije te posebnih preporuka Vijeća Europske unije za Republiku Hrvatsku. Tako je 24.rujna 2020. godine Vlada Republike Hrvatske usvojila Smjernice ekonomske i fiskalne politike za razdoblje 2021.-2023. godine, dok je Ministarstvo financija u listopadu  dostavilo Upute za izradu proračuna jedinica lokalne i područne (regionalne) samouprave za razdoblje 2021.-2023. godine.  Odsjek za proračun i financije Općine Posedarje nakon primitka navedenih Uputa izrađuje Upute za izradu proračuna Općine Posedarje za razdoblje 2021.-2023., objavljuje ih na svojoj web stranici te ih  dostavlja proračunskom korisniku. 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se sastoji od općeg i posebnog dijela te plana razvojnih programa. Opći dio proračuna čini Račun prihoda i rashoda i Račun financiranja. Posebni dio Proračuna sastoji se od rashoda i izdataka raspoređenih po programima (aktivnostima i projektima) unutar razdjela/glava definiranih u skladu s organizacijskom klasifikacijom Proračuna. U Proračun Općine Posedarje uključeni su i vlastiti i namjenski prihodi i primici proračunskog korisnika Dječji vrtić „Cvrčak Posedarje“ koji se uplaćuju na njihove žiro račune, te rashodi i izdaci proračunskih korisnika koje financiraju iz tih prihoda. 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se donosi i izvršava u skladu sa načelima jedinstva i točnosti proračuna, jedne godine, uravnoteženosti, obračunske jedinice, univerzalnosti, specifikacije, dobrog financijskog upravljanja i transparentnosti. 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utvrđuje prijedlog proračuna  i projekcije te ih podnosi općinskom vijeću na donošenje do 15. studenoga. Općinsko vijeće donosi proračun na razini podskupine ekonomske klasifikacije za iduću proračunsku godinu i projekciju na razini skupine ekonomske klasifikaciju za sljedeće dvije proračunske godine.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ACA" w:rsidRDefault="00632ACA" w:rsidP="00632ACA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 xml:space="preserve">2. OPĆI DIO PRORAČUNA </w:t>
      </w:r>
    </w:p>
    <w:p w:rsidR="00632ACA" w:rsidRDefault="00632ACA" w:rsidP="00632ACA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2.1. PRIHODI I PRIMICI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i primici Proračuna za 2021. godinu planiraju se u iznosu od 20.129.600,00 kuna, a u tome prihodi poslovanja iznose 12.997.600,00 kune, prihodi od prodaje nefinancijske imovine 7.132.000,00. Zbog znatnog prenesenog manjka iz prošlogodišnjeg razdoblja kojeg Općina Posedarje nije u mogućnosti pokriti u jednoj proračunskoj godini pristupilo se sukcesivnom pokriću manjka (pokriće manjka kroz trogodišnje razdoblje). Ukupno preneseni manjak Proračuna Općine Posedarje iz 2020 godine je 2.276.289,69 kuna. U 2020. godini  planira se pokriti manjak u iznosu od 340.528,00 kuna tako da se Planom proračuna za 2021.godinu planira pokriti manjak u iznosu od 502.328,00 </w:t>
      </w:r>
      <w:r>
        <w:rPr>
          <w:rFonts w:ascii="Times New Roman" w:hAnsi="Times New Roman" w:cs="Times New Roman"/>
          <w:sz w:val="24"/>
          <w:szCs w:val="24"/>
        </w:rPr>
        <w:lastRenderedPageBreak/>
        <w:t>kuna dok se projekcijama proračuna za 2022.-2023. godine planira pokriti manjak u iznosu od 830.200,00 kuna u 2022. godini i 603.234,00 kuna u 2023. godini.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planiranja prihoda uzeta je u obzir realizacija istih u 2020. godini te procjena njihovog kretanja u narednom razdoblju uz uvažavanje gospodarskih i društvenih specifičnosti na lokalnoj razini, uzimajući u obzir i planirane izmjene zakonskih propisa. Iz prijedloga plana proračuna za 2021.g. vidljivo je znatno povećanje prihoda od prodaje nefinancijske imovine čiji prihodi u 2021. godini iznose 7.132.000,00 kuna. U 2021. godini planira se prodaja građevinskih parcela u predjelu Čelinka u Posedarju te prodaja građevinskih parcela u predjelu Ivandići u Posedarju. Objašnjenje navedenih prihoda slijedi u nastavku obrazloženja.</w:t>
      </w:r>
    </w:p>
    <w:p w:rsidR="00632ACA" w:rsidRDefault="00632ACA" w:rsidP="00632A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ACA" w:rsidRDefault="00632ACA" w:rsidP="00632A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32"/>
        <w:gridCol w:w="2353"/>
        <w:gridCol w:w="2354"/>
        <w:gridCol w:w="2189"/>
      </w:tblGrid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866D9E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866D9E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PROJEKCIJA 2022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866D9E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PROJEKCIJA 2023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12.997.600,00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13.050.055,00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13.811.000,00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8.913.600,00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8.365.000,00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9.408.580,00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972.000,00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tabs>
                <w:tab w:val="left" w:pos="3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590.000,00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Prihodi od imovine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433.700,00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403.500,00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2.977.000,00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3.102.000,00</w:t>
            </w:r>
          </w:p>
          <w:p w:rsidR="00632ACA" w:rsidRDefault="00632ACA" w:rsidP="0063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3.232.000,00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Prihodi od prodaje proizvoda i roba te pruženih usluga i prihodi od donacija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140.000,00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140.000,00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Kazne, upravne mjere i ostali prihodi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37.000,00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37.000,00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Prihodi od prodaje nefinancijske imovine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7.132.000,00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6.721.899,00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4.570.234,00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Prihodi od prodaje neproizvedene dugotrajne imovine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7.132.000,00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6.270.899,00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4.119.234,00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Prihodi od prodaje proizvedene dugotrajne imovine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451.000,00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451.000,00</w:t>
            </w:r>
          </w:p>
        </w:tc>
      </w:tr>
      <w:tr w:rsidR="00632ACA" w:rsidTr="00632AC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20.129.600,00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19.771.954,00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18.381.234,00</w:t>
            </w:r>
          </w:p>
        </w:tc>
      </w:tr>
    </w:tbl>
    <w:p w:rsidR="00632ACA" w:rsidRDefault="00632ACA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632ACA" w:rsidRDefault="00632ACA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Prihodi poslovanja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poslovanja planirani su u iznosu od 12.997.600,00 kuna. Prihodi od poreza planirani su u iznosu od 8.913.600,00 kuna. Unutar grupe prihoda od poreza planirani su prihodi od poreza i prireza na dohodak 7.516.600,00 kuna, poreza na imovinu koji se odnose na porez na kuće za odmor i na promet nekretnina u iznosu od 1.337.000,00 kuna, te porezi na robu i usluge u okviru kojih su planirani porez na potrošnju u iznosu od 60.000,00 kuna. Prihodi od porezna na imovinu i prihodi od poreza na robu i usluge u 2021- godini bilježe pad u odnosu na plan istih prihoda u 2020. godini. Razlog tog pada je sveukupna situacija na tržištu nekretnina  koja bilježi pad potražnje za nekretninama radi pojave virusa COVID 19.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pomoći iz inozemstva i od subjekata unutar općeg proračuna  planirani su u iznosu od 334.000,00 kuna što je znatno smanjenje u odnosu na planirano prošlogodišnje razdoblje. Razlog smanjenja je odustajanje od financiranja projekata koji su se trebali financirati iz  pomoći iz državnog proračuna i od ostalih izvanproračunskih korisnika. Razlog tome je sveukupna ekonomska situacija koja je narušena COVID 19 virusom. Pomoći iz inozemstva i od subjekata unutar općeg proračuna sastoje se od 334.000,00 kuna  a odnose se na kompenzacijske mjere JLP(R)S koje se uplaćuju u proračun Općine Posedarje te 12.000,00 kuna pomoći proračunskim korisnicima iz proračuna koji im nije nadležan.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imovine planirani su u iznosu od 364.000,00 kuna a odnosi se na prihode od financijske imovine u iznosu od 10.792,00 kuna, a čine ih  kamate na depozite po viđenju te zatezne kamate.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nefinancijske imovine u iznosu od 353.208,000 kuna a čine ih  naknade za koncesije na pomorskom dobru u iznosu od 80.000,00 kuna, ostali prihodi od zakupa i iznajmljivanja imovine u iznosu od 90.000,00 a odnose se na zakup poslovnih prostora danih u najam, ostali prihod od zakupa i iznajmljivanja imovine za jednodnevnu prodaju u iznosu od 2.208,00 kuna.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2019. godini Općina Posedarje je po prvi put organizirala naplatu parkinga na označenim parkirnim mjestima. Radi sveukupne ekonomske situacije u 2020. godini odustalo se od naplaćivanja parkirnih mjesta. Međutim, u 2021. godini unatoč  neizvjesnoj turističkoj sezoni planira se opet naplata parkinga, te su stoga prihodi po toj osnovi planirani u iznosu od 150.000,00 kuna. Prihodi od spomeničke rente iznose 1.000,00 kuna koji su namjenski prihodi i koriste se za unapređenje turističke sezone  te prihodi od naknade za legalizaciju nezakonito izgrađenih objekata u iznosu od 30.000,00 kuna. 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upravnih i administrativnih pristojbi, pristojbi po posebnim propisima  i naknada planirani su u iznosu od 2.977..000,00 kuna , te prihode čine prihodi od upravnih i administrativnih pristojbi u iznosu od 282.000,00 kuna. Te prihode čine prihodi od prodaje državnih biljega u iznosu od 10.000,00 kuna, prihodi od turističke pristojbe (boravišna pristojba) koja se sada direktno uplaćuje na račun Općine Posedarje u iznosu od 60.000,00 kuna te prihodi od naknade za služnost puta u iznosu od 212.000,00 kuna koju plaća HAKOM. Prihodi po posebnim propisima u iznosu od 895.000,00 kuna, a čine ih prihodi od vodnog doprinosa u iznosu od 15.000,00 kuna koji se namjenski troši za poboljšanje vodovodne infrastrukture te prihodi od sufinanciranja potroška vode na hidrantima u mjestima koji nemaju vodovodne priključke te ostali nespomenuti prihodi po posebnim propisima koji su planirani u iznosu od 200.000,00 kuna a odnose se 6% od naplaćene vode i ta sredstva koriste se za izgradnju vodovodne infrastrukture,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doprinos i komunalna naknada planirani su u iznosu od 1.800.000,00 kuna od čega se na komunalni doprinos odnosi 500.000,00 kuna a na komunalnu naknadu 1.300.000,00 kuna.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od prodaje proizvoda i robe te pruženih usluga iznose 360.000,00 kuna a odnose se na 10% iznosa koje nam uplate Hrvatske vode od naplaćene slivne vodne naknade koju Općina Posedarje po naplati uplati na račun Hrvatskih voda.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 od pravnih i fizičkih osoba izvan općeg proračuna iznose 220.000,00 kuna a odnose se na kapitalnu donaciju LAG 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Kazne, upravne mjere i ostali prihodi planirani su u iznosu od 37.000,00 kuna.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prihodi  planirani su u iznosu od 35.400,00 kuna.</w:t>
      </w:r>
    </w:p>
    <w:p w:rsidR="00632ACA" w:rsidRDefault="00632ACA" w:rsidP="00632ACA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632ACA" w:rsidRDefault="00632ACA" w:rsidP="00632A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ACA" w:rsidRDefault="00632ACA" w:rsidP="00632A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ACA" w:rsidRDefault="00632ACA" w:rsidP="00632A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7.132.000,00 kuna. Ti prihodi planirani su od prihoda od prodaje poljoprivrednog zemljišta čija obveza uplate proizlazi iz prijašnjih godina. U 2021.g. planira se ostvarivanje prihoda od prodaje građevinskih parcela u predjelu Čelinka/Posedarje u iznosu od 2.760.000,00 kuna te prodaja građevinskih parcela u predjelu Ivandići/Posedarje u iznosu od 3.800.000,00 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proračunskog korisnika Dječjeg vrtića Cvrčak Posedarje iznose 444.000,00 kuna a sastoje se od 12.000,00 kuna pomoći od subjekata unutar općeg proračun te 430.000,00 kuna od prihoda po posebnim propisima. Dječji vrtić Cvrčak-Posedarje planira ostvariti višak prihoda nad rashodima u 2020. godini u iznosu od 2.000,00 koji se koriste za financiranje rashoda 2021. godine.</w:t>
      </w:r>
    </w:p>
    <w:p w:rsidR="00632ACA" w:rsidRDefault="00632ACA" w:rsidP="00632A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ACA" w:rsidRDefault="00632ACA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2.2. RASHODI I IZDACI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i izdaci za 2021. godinu planiraju se u iznosu od 19.557.272,00 kuna a uključuju rashode poslovanja u visini od 11.935.392,00 kuna, rashode za nabavu nefinancijske imovine u visini od 7.621.880,00 kuna. Prilikom planiranja rashoda uzeta je u obzir realizacija istih u 2020. godini i njihova procjena po osnovi tekućih i ugovorenih obveza u narednom razdoblju te predviđenih kapitalnih ulaganja. Kako je uvodno navedeno, u planiranim rashodima proračuna obuhvaćeni su i svi rashodi proračunskog korisnika. Rashodi i izdaci raspoređeni su po programima. </w:t>
      </w:r>
    </w:p>
    <w:p w:rsidR="00632ACA" w:rsidRDefault="00632ACA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2.3. RAČUN FINANCIRANJA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2019.godini Općina Posedarje je potpisala ugovor za financijski leasing za kupnju traktora s malčerom i dugoročno se zadužila na 5 godina. Planirana otplata financijskog zajma u 2021. godini iznosi 70.000,,00 kuna.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ACA" w:rsidRDefault="00632ACA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2.2.1. RASHODI I IZDACI PO EKONOMSKOJ KLASIFIKACIJI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poslovanja iznose 11.935.392,00 kuna a rashodi  za  nabavu nefinancijske imovine 7.621.880,00 kuna.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3"/>
        <w:gridCol w:w="1596"/>
        <w:gridCol w:w="2268"/>
        <w:gridCol w:w="105"/>
        <w:gridCol w:w="2694"/>
      </w:tblGrid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RASHODI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2021</w:t>
            </w:r>
          </w:p>
        </w:tc>
        <w:tc>
          <w:tcPr>
            <w:tcW w:w="2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PROJEKCIJA 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PROJEKCIJA 2023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11.935.392,00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11.428.855,00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11.399.080,00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3.495.492,00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3.550.185,00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3.479.970,00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6.374.750,00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5.873.020,00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5.857.560,00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Financijski rashodi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84.500,00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53.000,00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42.100,00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Pomoći dane u inozemstvo i unutar općeg proračuna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32.200,00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39.000,00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Naknade građanima i kućanstvima na temelju osiguranja i druge naknade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671.000,00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663.000,00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663.000,00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1.277.450,00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1.257.450,00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1.317.450,00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7.621.880,00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7.438.899,00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6.299.000,00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 Rashodi za nabavu neprozivedene dugotrajne imovine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2.478.000,00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.3.250.000,00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2.200.000,00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5.143.880,00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4.188.880,00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4.099.000,00</w:t>
            </w:r>
          </w:p>
        </w:tc>
      </w:tr>
      <w:tr w:rsidR="00632ACA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19.557.272,00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18.867.754,00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632ACA" w:rsidRDefault="00632ACA" w:rsidP="00632A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17.698.080,00</w:t>
            </w:r>
          </w:p>
        </w:tc>
      </w:tr>
    </w:tbl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EE3" w:rsidRPr="008B5291" w:rsidRDefault="001266FC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 </w:t>
      </w:r>
      <w:r w:rsidR="001746D9" w:rsidRPr="008B5291">
        <w:rPr>
          <w:rFonts w:ascii="Bahnschrift SemiBold SemiConden" w:hAnsi="Bahnschrift SemiBold SemiConden" w:cs="Times New Roman"/>
          <w:b/>
          <w:sz w:val="28"/>
          <w:szCs w:val="28"/>
        </w:rPr>
        <w:t>RASHODI I IZDACI</w:t>
      </w:r>
    </w:p>
    <w:p w:rsidR="00BC2F58" w:rsidRDefault="00BC2F58" w:rsidP="00BC2F58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Ukupni rashodi i izdaci za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32A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1916">
        <w:rPr>
          <w:rFonts w:ascii="Times New Roman" w:hAnsi="Times New Roman" w:cs="Times New Roman"/>
          <w:sz w:val="24"/>
          <w:szCs w:val="24"/>
        </w:rPr>
        <w:t xml:space="preserve"> godinu planiraju se u iznosu od </w:t>
      </w:r>
      <w:r w:rsidR="00632ACA">
        <w:rPr>
          <w:rFonts w:ascii="Times New Roman" w:hAnsi="Times New Roman" w:cs="Times New Roman"/>
          <w:sz w:val="24"/>
          <w:szCs w:val="24"/>
        </w:rPr>
        <w:t>19.557.272,00</w:t>
      </w:r>
      <w:r>
        <w:rPr>
          <w:rFonts w:ascii="Times New Roman" w:hAnsi="Times New Roman" w:cs="Times New Roman"/>
          <w:sz w:val="24"/>
          <w:szCs w:val="24"/>
        </w:rPr>
        <w:t xml:space="preserve"> kuna </w:t>
      </w:r>
      <w:r w:rsidRPr="00CB1916">
        <w:rPr>
          <w:rFonts w:ascii="Times New Roman" w:hAnsi="Times New Roman" w:cs="Times New Roman"/>
          <w:sz w:val="24"/>
          <w:szCs w:val="24"/>
        </w:rPr>
        <w:t xml:space="preserve">a uključuju rashode poslovanja u visini od </w:t>
      </w:r>
      <w:r w:rsidR="00632ACA">
        <w:rPr>
          <w:rFonts w:ascii="Times New Roman" w:hAnsi="Times New Roman" w:cs="Times New Roman"/>
          <w:sz w:val="24"/>
          <w:szCs w:val="24"/>
        </w:rPr>
        <w:t>11.935.392,00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916">
        <w:rPr>
          <w:rFonts w:ascii="Times New Roman" w:hAnsi="Times New Roman" w:cs="Times New Roman"/>
          <w:sz w:val="24"/>
          <w:szCs w:val="24"/>
        </w:rPr>
        <w:t>rashode za nabavu nefinancijske imovine u visini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ACA">
        <w:rPr>
          <w:rFonts w:ascii="Times New Roman" w:hAnsi="Times New Roman" w:cs="Times New Roman"/>
          <w:sz w:val="24"/>
          <w:szCs w:val="24"/>
        </w:rPr>
        <w:t>7.621.880,00</w:t>
      </w:r>
      <w:r>
        <w:rPr>
          <w:rFonts w:ascii="Times New Roman" w:hAnsi="Times New Roman" w:cs="Times New Roman"/>
          <w:sz w:val="24"/>
          <w:szCs w:val="24"/>
        </w:rPr>
        <w:t xml:space="preserve"> kuna. </w:t>
      </w:r>
      <w:r w:rsidRPr="00CB1916">
        <w:rPr>
          <w:rFonts w:ascii="Times New Roman" w:hAnsi="Times New Roman" w:cs="Times New Roman"/>
          <w:sz w:val="24"/>
          <w:szCs w:val="24"/>
        </w:rPr>
        <w:t>Prilikom planiranja rashoda uzeta je u obzir realizacija istih u 20</w:t>
      </w:r>
      <w:r w:rsidR="00632ACA">
        <w:rPr>
          <w:rFonts w:ascii="Times New Roman" w:hAnsi="Times New Roman" w:cs="Times New Roman"/>
          <w:sz w:val="24"/>
          <w:szCs w:val="24"/>
        </w:rPr>
        <w:t>20</w:t>
      </w:r>
      <w:r w:rsidRPr="00CB1916">
        <w:rPr>
          <w:rFonts w:ascii="Times New Roman" w:hAnsi="Times New Roman" w:cs="Times New Roman"/>
          <w:sz w:val="24"/>
          <w:szCs w:val="24"/>
        </w:rPr>
        <w:t xml:space="preserve">. godini i njihova procjena po osnovi tekućih i ugovorenih obveza u narednom razdoblju te predviđenih kapitalnih ulaganja. Kako je uvodno navedeno, u planiranim rashodima proračuna obuhvaćeni su i svi rashodi proračunskog korisnika. Rashodi i izdaci raspoređeni su po programima. </w:t>
      </w:r>
    </w:p>
    <w:p w:rsidR="00BC2F58" w:rsidRDefault="00BC2F58" w:rsidP="00BC2F58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2.</w:t>
      </w:r>
      <w:r>
        <w:rPr>
          <w:rFonts w:ascii="Bahnschrift SemiBold SemiConden" w:hAnsi="Bahnschrift SemiBold SemiConden" w:cs="Times New Roman"/>
          <w:b/>
          <w:sz w:val="28"/>
          <w:szCs w:val="28"/>
        </w:rPr>
        <w:t>3</w:t>
      </w: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 xml:space="preserve">. </w:t>
      </w:r>
      <w:r>
        <w:rPr>
          <w:rFonts w:ascii="Bahnschrift SemiBold SemiConden" w:hAnsi="Bahnschrift SemiBold SemiConden" w:cs="Times New Roman"/>
          <w:b/>
          <w:sz w:val="28"/>
          <w:szCs w:val="28"/>
        </w:rPr>
        <w:t>RAČUN FINANCIRANJA</w:t>
      </w:r>
    </w:p>
    <w:p w:rsidR="00BC2F58" w:rsidRPr="00CB1916" w:rsidRDefault="00124EF1" w:rsidP="00BC2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2019.godini Općina Posedarje je potpisala ugovor za financijski leasing za kupnju traktora s malčerom i dugoročno se zadužila na 5 godina. Planirana otplata financijskog zajma u 202</w:t>
      </w:r>
      <w:r w:rsidR="00632A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632ACA">
        <w:rPr>
          <w:rFonts w:ascii="Times New Roman" w:hAnsi="Times New Roman" w:cs="Times New Roman"/>
          <w:sz w:val="24"/>
          <w:szCs w:val="24"/>
        </w:rPr>
        <w:t>70.000,00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80449E" w:rsidRDefault="0080449E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49E" w:rsidRDefault="0080449E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0449E">
        <w:rPr>
          <w:rFonts w:ascii="Bahnschrift SemiBold SemiConden" w:hAnsi="Bahnschrift SemiBold SemiConden" w:cs="Times New Roman"/>
          <w:b/>
          <w:sz w:val="28"/>
          <w:szCs w:val="28"/>
        </w:rPr>
        <w:t>2.2.1. RASHODI I IZDACI PO EKONOMSKOJ KLASIFIKACIJI</w:t>
      </w:r>
    </w:p>
    <w:p w:rsidR="00CD6552" w:rsidRDefault="00124EF1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poslovanja iznose </w:t>
      </w:r>
      <w:r w:rsidR="00632ACA">
        <w:rPr>
          <w:rFonts w:ascii="Times New Roman" w:hAnsi="Times New Roman" w:cs="Times New Roman"/>
          <w:sz w:val="24"/>
          <w:szCs w:val="24"/>
        </w:rPr>
        <w:t>19.557.272,00 luna</w:t>
      </w:r>
      <w:r>
        <w:rPr>
          <w:rFonts w:ascii="Times New Roman" w:hAnsi="Times New Roman" w:cs="Times New Roman"/>
          <w:sz w:val="24"/>
          <w:szCs w:val="24"/>
        </w:rPr>
        <w:t xml:space="preserve"> a rashodi a rashodi za </w:t>
      </w:r>
      <w:r w:rsidR="0080449E" w:rsidRPr="00CB1916">
        <w:rPr>
          <w:rFonts w:ascii="Times New Roman" w:hAnsi="Times New Roman" w:cs="Times New Roman"/>
          <w:sz w:val="24"/>
          <w:szCs w:val="24"/>
        </w:rPr>
        <w:t xml:space="preserve"> nabavu nefinancijske imovine </w:t>
      </w:r>
      <w:r w:rsidR="00632ACA">
        <w:rPr>
          <w:rFonts w:ascii="Times New Roman" w:hAnsi="Times New Roman" w:cs="Times New Roman"/>
          <w:sz w:val="24"/>
          <w:szCs w:val="24"/>
        </w:rPr>
        <w:t>7.621.880,00 kuna.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3"/>
        <w:gridCol w:w="1596"/>
        <w:gridCol w:w="2268"/>
        <w:gridCol w:w="105"/>
        <w:gridCol w:w="2694"/>
      </w:tblGrid>
      <w:tr w:rsidR="00CD6552" w:rsidRPr="00BD5CAC" w:rsidTr="00BD5CAC">
        <w:tc>
          <w:tcPr>
            <w:tcW w:w="2943" w:type="dxa"/>
            <w:shd w:val="clear" w:color="auto" w:fill="9CC2E5" w:themeFill="accent1" w:themeFillTint="99"/>
          </w:tcPr>
          <w:p w:rsidR="00CD6552" w:rsidRPr="00BD5CAC" w:rsidRDefault="00124EF1" w:rsidP="00684E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AC">
              <w:rPr>
                <w:rFonts w:ascii="Times New Roman" w:hAnsi="Times New Roman" w:cs="Times New Roman"/>
                <w:b/>
                <w:sz w:val="24"/>
                <w:szCs w:val="24"/>
              </w:rPr>
              <w:t>RASHODI</w:t>
            </w:r>
          </w:p>
        </w:tc>
        <w:tc>
          <w:tcPr>
            <w:tcW w:w="1596" w:type="dxa"/>
            <w:shd w:val="clear" w:color="auto" w:fill="9CC2E5" w:themeFill="accent1" w:themeFillTint="99"/>
          </w:tcPr>
          <w:p w:rsidR="00CD6552" w:rsidRPr="00BD5CAC" w:rsidRDefault="00632ACA" w:rsidP="00684E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2021</w:t>
            </w:r>
          </w:p>
        </w:tc>
        <w:tc>
          <w:tcPr>
            <w:tcW w:w="2373" w:type="dxa"/>
            <w:gridSpan w:val="2"/>
            <w:shd w:val="clear" w:color="auto" w:fill="9CC2E5" w:themeFill="accent1" w:themeFillTint="99"/>
          </w:tcPr>
          <w:p w:rsidR="00CD6552" w:rsidRPr="00BD5CAC" w:rsidRDefault="00632ACA" w:rsidP="00684E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PROJEKCIJA 2022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:rsidR="00CD6552" w:rsidRPr="00BD5CAC" w:rsidRDefault="00632ACA" w:rsidP="00684E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PROJEKCIJA 2023</w:t>
            </w:r>
          </w:p>
        </w:tc>
      </w:tr>
      <w:tr w:rsidR="00CD6552" w:rsidTr="00BD5CAC">
        <w:tc>
          <w:tcPr>
            <w:tcW w:w="2943" w:type="dxa"/>
            <w:shd w:val="clear" w:color="auto" w:fill="BDD6EE" w:themeFill="accent1" w:themeFillTint="66"/>
          </w:tcPr>
          <w:p w:rsidR="00CD6552" w:rsidRPr="00CD6552" w:rsidRDefault="00CD655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CD6552" w:rsidRPr="005073E0" w:rsidRDefault="00632ACA" w:rsidP="00CB35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11.935.392,00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CD6552" w:rsidRPr="005073E0" w:rsidRDefault="00632ACA" w:rsidP="00F26D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11.428.855,00</w:t>
            </w:r>
          </w:p>
        </w:tc>
        <w:tc>
          <w:tcPr>
            <w:tcW w:w="2799" w:type="dxa"/>
            <w:gridSpan w:val="2"/>
            <w:shd w:val="clear" w:color="auto" w:fill="BDD6EE" w:themeFill="accent1" w:themeFillTint="66"/>
          </w:tcPr>
          <w:p w:rsidR="00CD6552" w:rsidRPr="005073E0" w:rsidRDefault="00632ACA" w:rsidP="00F26D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11.399.080,00</w:t>
            </w:r>
          </w:p>
        </w:tc>
      </w:tr>
      <w:tr w:rsidR="00CD6552" w:rsidTr="00BD5CAC">
        <w:tc>
          <w:tcPr>
            <w:tcW w:w="2943" w:type="dxa"/>
            <w:shd w:val="clear" w:color="auto" w:fill="DEEAF6" w:themeFill="accent1" w:themeFillTint="33"/>
          </w:tcPr>
          <w:p w:rsidR="00CD6552" w:rsidRPr="00CD6552" w:rsidRDefault="00CD6552" w:rsidP="00F26D28">
            <w:pPr>
              <w:pStyle w:val="Bezproreda"/>
            </w:pPr>
            <w:r>
              <w:t>31</w:t>
            </w:r>
            <w:r w:rsidR="00425E14">
              <w:t xml:space="preserve"> Rashodi za zaposlene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3.495.492,00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3.550.492,00</w:t>
            </w:r>
          </w:p>
        </w:tc>
        <w:tc>
          <w:tcPr>
            <w:tcW w:w="2799" w:type="dxa"/>
            <w:gridSpan w:val="2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3.479.970,00</w:t>
            </w:r>
          </w:p>
        </w:tc>
      </w:tr>
      <w:tr w:rsidR="00CD6552" w:rsidTr="00BD5CAC">
        <w:tc>
          <w:tcPr>
            <w:tcW w:w="2943" w:type="dxa"/>
            <w:shd w:val="clear" w:color="auto" w:fill="DEEAF6" w:themeFill="accent1" w:themeFillTint="33"/>
          </w:tcPr>
          <w:p w:rsidR="00CD6552" w:rsidRPr="00CD6552" w:rsidRDefault="00CD6552" w:rsidP="00F26D28">
            <w:pPr>
              <w:pStyle w:val="Bezproreda"/>
            </w:pPr>
            <w:r>
              <w:t>32</w:t>
            </w:r>
            <w:r w:rsidR="00425E14">
              <w:t xml:space="preserve"> Materijalni rashodi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6.374.750,00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5.873.750,00</w:t>
            </w:r>
          </w:p>
        </w:tc>
        <w:tc>
          <w:tcPr>
            <w:tcW w:w="2799" w:type="dxa"/>
            <w:gridSpan w:val="2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5.857.560,00</w:t>
            </w:r>
          </w:p>
        </w:tc>
      </w:tr>
      <w:tr w:rsidR="00CD6552" w:rsidTr="00BD5CAC">
        <w:tc>
          <w:tcPr>
            <w:tcW w:w="2943" w:type="dxa"/>
            <w:shd w:val="clear" w:color="auto" w:fill="DEEAF6" w:themeFill="accent1" w:themeFillTint="33"/>
          </w:tcPr>
          <w:p w:rsidR="00CD6552" w:rsidRPr="00CD6552" w:rsidRDefault="00CD6552" w:rsidP="00F26D28">
            <w:pPr>
              <w:pStyle w:val="Bezproreda"/>
            </w:pPr>
            <w:r>
              <w:t>34</w:t>
            </w:r>
            <w:r w:rsidR="00425E14">
              <w:t xml:space="preserve"> Financijski rashodi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84-500,00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53.000,00</w:t>
            </w:r>
          </w:p>
        </w:tc>
        <w:tc>
          <w:tcPr>
            <w:tcW w:w="2799" w:type="dxa"/>
            <w:gridSpan w:val="2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42.100,00</w:t>
            </w:r>
          </w:p>
        </w:tc>
      </w:tr>
      <w:tr w:rsidR="00CD6552" w:rsidTr="00BD5CAC">
        <w:tc>
          <w:tcPr>
            <w:tcW w:w="2943" w:type="dxa"/>
            <w:shd w:val="clear" w:color="auto" w:fill="DEEAF6" w:themeFill="accent1" w:themeFillTint="33"/>
          </w:tcPr>
          <w:p w:rsidR="00CD6552" w:rsidRPr="00CD6552" w:rsidRDefault="00CD6552" w:rsidP="00F26D28">
            <w:pPr>
              <w:pStyle w:val="Bezproreda"/>
            </w:pPr>
            <w:r>
              <w:t>36</w:t>
            </w:r>
            <w:r w:rsidR="00425E14">
              <w:t xml:space="preserve"> Pomoći dane u inozemstvo i unutar općeg proračuna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32.200,00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32.200,00</w:t>
            </w:r>
          </w:p>
        </w:tc>
        <w:tc>
          <w:tcPr>
            <w:tcW w:w="2799" w:type="dxa"/>
            <w:gridSpan w:val="2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39.000,00</w:t>
            </w:r>
          </w:p>
        </w:tc>
      </w:tr>
      <w:tr w:rsidR="00CD6552" w:rsidTr="00BD5CAC">
        <w:tc>
          <w:tcPr>
            <w:tcW w:w="2943" w:type="dxa"/>
            <w:shd w:val="clear" w:color="auto" w:fill="DEEAF6" w:themeFill="accent1" w:themeFillTint="33"/>
          </w:tcPr>
          <w:p w:rsidR="00CD6552" w:rsidRPr="00CD6552" w:rsidRDefault="00CD6552" w:rsidP="00F26D28">
            <w:pPr>
              <w:pStyle w:val="Bezproreda"/>
            </w:pPr>
            <w:r>
              <w:t>37</w:t>
            </w:r>
            <w:r w:rsidR="00425E14">
              <w:t xml:space="preserve"> Naknade građanima i kućanstvima na temelju osiguranja i druge naknade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671.000,00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663.000,00</w:t>
            </w:r>
          </w:p>
        </w:tc>
        <w:tc>
          <w:tcPr>
            <w:tcW w:w="2799" w:type="dxa"/>
            <w:gridSpan w:val="2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663.000,00</w:t>
            </w:r>
          </w:p>
        </w:tc>
      </w:tr>
      <w:tr w:rsidR="00CD6552" w:rsidTr="00BD5CAC">
        <w:tc>
          <w:tcPr>
            <w:tcW w:w="2943" w:type="dxa"/>
            <w:shd w:val="clear" w:color="auto" w:fill="DEEAF6" w:themeFill="accent1" w:themeFillTint="33"/>
          </w:tcPr>
          <w:p w:rsidR="00CD6552" w:rsidRPr="00CD6552" w:rsidRDefault="00CD6552" w:rsidP="00F26D28">
            <w:pPr>
              <w:pStyle w:val="Bezproreda"/>
            </w:pPr>
            <w:r>
              <w:t>38</w:t>
            </w:r>
            <w:r w:rsidR="00425E14">
              <w:t xml:space="preserve"> Ostali rashodi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1.277.450,00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1.257.450,00</w:t>
            </w:r>
          </w:p>
        </w:tc>
        <w:tc>
          <w:tcPr>
            <w:tcW w:w="2799" w:type="dxa"/>
            <w:gridSpan w:val="2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1.317.450,00</w:t>
            </w:r>
          </w:p>
        </w:tc>
      </w:tr>
      <w:tr w:rsidR="00CD6552" w:rsidTr="00BD5CAC">
        <w:tc>
          <w:tcPr>
            <w:tcW w:w="2943" w:type="dxa"/>
            <w:shd w:val="clear" w:color="auto" w:fill="BDD6EE" w:themeFill="accent1" w:themeFillTint="66"/>
          </w:tcPr>
          <w:p w:rsidR="00CD6552" w:rsidRPr="00CD6552" w:rsidRDefault="00CD6552" w:rsidP="00F26D28">
            <w:pPr>
              <w:pStyle w:val="Bezproreda"/>
            </w:pPr>
            <w:r>
              <w:t>4 Rashodi za nabavu nefinancijske imovine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5073E0" w:rsidRPr="005073E0" w:rsidRDefault="00632ACA" w:rsidP="00632ACA">
            <w:pPr>
              <w:pStyle w:val="Bezproreda"/>
              <w:jc w:val="right"/>
            </w:pPr>
            <w:r>
              <w:t>7.621.880,00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5423A0" w:rsidRPr="005073E0" w:rsidRDefault="00632ACA" w:rsidP="00F26D28">
            <w:pPr>
              <w:pStyle w:val="Bezproreda"/>
              <w:jc w:val="right"/>
            </w:pPr>
            <w:r>
              <w:t>7.438.899,00</w:t>
            </w:r>
          </w:p>
        </w:tc>
        <w:tc>
          <w:tcPr>
            <w:tcW w:w="2799" w:type="dxa"/>
            <w:gridSpan w:val="2"/>
            <w:shd w:val="clear" w:color="auto" w:fill="BDD6EE" w:themeFill="accent1" w:themeFillTint="66"/>
          </w:tcPr>
          <w:p w:rsidR="005423A0" w:rsidRPr="005073E0" w:rsidRDefault="00632ACA" w:rsidP="00F26D28">
            <w:pPr>
              <w:pStyle w:val="Bezproreda"/>
              <w:jc w:val="right"/>
            </w:pPr>
            <w:r>
              <w:t>6.299.000,00</w:t>
            </w:r>
          </w:p>
        </w:tc>
      </w:tr>
      <w:tr w:rsidR="00CD6552" w:rsidTr="00BD5CAC">
        <w:tc>
          <w:tcPr>
            <w:tcW w:w="2943" w:type="dxa"/>
            <w:shd w:val="clear" w:color="auto" w:fill="DEEAF6" w:themeFill="accent1" w:themeFillTint="33"/>
          </w:tcPr>
          <w:p w:rsidR="00CD6552" w:rsidRPr="00CD6552" w:rsidRDefault="00CD6552" w:rsidP="00F26D28">
            <w:pPr>
              <w:pStyle w:val="Bezproreda"/>
            </w:pPr>
            <w:r>
              <w:t>41</w:t>
            </w:r>
            <w:r w:rsidR="00425E14">
              <w:t xml:space="preserve"> Rashodi za nabavu neprozivedene dugotrajne imovine 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CD6552" w:rsidRPr="005073E0" w:rsidRDefault="00632ACA" w:rsidP="00CB3555">
            <w:pPr>
              <w:pStyle w:val="Bezproreda"/>
              <w:jc w:val="right"/>
            </w:pPr>
            <w:r>
              <w:t>2.478.000,00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3.250.000,00</w:t>
            </w:r>
          </w:p>
        </w:tc>
        <w:tc>
          <w:tcPr>
            <w:tcW w:w="2799" w:type="dxa"/>
            <w:gridSpan w:val="2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2.200.000,00</w:t>
            </w:r>
          </w:p>
        </w:tc>
      </w:tr>
      <w:tr w:rsidR="00CD6552" w:rsidTr="00BD5CAC">
        <w:tc>
          <w:tcPr>
            <w:tcW w:w="2943" w:type="dxa"/>
            <w:shd w:val="clear" w:color="auto" w:fill="DEEAF6" w:themeFill="accent1" w:themeFillTint="33"/>
          </w:tcPr>
          <w:p w:rsidR="00CD6552" w:rsidRPr="00CD6552" w:rsidRDefault="00CD6552" w:rsidP="00F26D28">
            <w:pPr>
              <w:pStyle w:val="Bezproreda"/>
            </w:pPr>
            <w:r>
              <w:t>42</w:t>
            </w:r>
            <w:r w:rsidR="00425E14">
              <w:t xml:space="preserve"> Rashodi za nabavu proizvedene dugotrajne imovine 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5.143.880,00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4.188.899,00</w:t>
            </w:r>
          </w:p>
        </w:tc>
        <w:tc>
          <w:tcPr>
            <w:tcW w:w="2799" w:type="dxa"/>
            <w:gridSpan w:val="2"/>
            <w:shd w:val="clear" w:color="auto" w:fill="DEEAF6" w:themeFill="accent1" w:themeFillTint="33"/>
          </w:tcPr>
          <w:p w:rsidR="00CD6552" w:rsidRPr="005073E0" w:rsidRDefault="00632ACA" w:rsidP="00F26D28">
            <w:pPr>
              <w:pStyle w:val="Bezproreda"/>
              <w:jc w:val="right"/>
            </w:pPr>
            <w:r>
              <w:t>4.099.000,00</w:t>
            </w:r>
          </w:p>
        </w:tc>
      </w:tr>
      <w:tr w:rsidR="00F26D28" w:rsidRPr="00F26D28" w:rsidTr="00F26D28">
        <w:tc>
          <w:tcPr>
            <w:tcW w:w="2943" w:type="dxa"/>
            <w:shd w:val="clear" w:color="auto" w:fill="BDD6EE" w:themeFill="accent1" w:themeFillTint="66"/>
          </w:tcPr>
          <w:p w:rsidR="00F26D28" w:rsidRPr="00F26D28" w:rsidRDefault="00F26D28" w:rsidP="00F26D28">
            <w:pPr>
              <w:pStyle w:val="Bezproreda"/>
            </w:pPr>
            <w:r w:rsidRPr="00F26D28">
              <w:t>5 Izdaci za financijsku imovinu i otplate zajmova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F26D28" w:rsidRPr="00F26D28" w:rsidRDefault="00EC3AB1" w:rsidP="00F26D28">
            <w:pPr>
              <w:pStyle w:val="Bezproreda"/>
              <w:jc w:val="right"/>
            </w:pPr>
            <w:r>
              <w:t>70.000,00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F26D28" w:rsidRPr="00F26D28" w:rsidRDefault="00EC3AB1" w:rsidP="00F26D28">
            <w:pPr>
              <w:pStyle w:val="Bezproreda"/>
              <w:jc w:val="right"/>
            </w:pPr>
            <w:r>
              <w:t>74.000,00</w:t>
            </w:r>
          </w:p>
        </w:tc>
        <w:tc>
          <w:tcPr>
            <w:tcW w:w="2799" w:type="dxa"/>
            <w:gridSpan w:val="2"/>
            <w:shd w:val="clear" w:color="auto" w:fill="BDD6EE" w:themeFill="accent1" w:themeFillTint="66"/>
          </w:tcPr>
          <w:p w:rsidR="00F26D28" w:rsidRPr="00F26D28" w:rsidRDefault="00EC3AB1" w:rsidP="00F26D28">
            <w:pPr>
              <w:pStyle w:val="Bezproreda"/>
              <w:jc w:val="right"/>
            </w:pPr>
            <w:r>
              <w:t>80.000,00</w:t>
            </w:r>
          </w:p>
        </w:tc>
      </w:tr>
      <w:tr w:rsidR="00F26D28" w:rsidRPr="00F26D28" w:rsidTr="00F26D28">
        <w:tc>
          <w:tcPr>
            <w:tcW w:w="2943" w:type="dxa"/>
            <w:shd w:val="clear" w:color="auto" w:fill="DEEAF6" w:themeFill="accent1" w:themeFillTint="33"/>
          </w:tcPr>
          <w:p w:rsidR="00F26D28" w:rsidRPr="00F26D28" w:rsidRDefault="00F26D28" w:rsidP="00F26D28">
            <w:pPr>
              <w:pStyle w:val="Bezproreda"/>
            </w:pPr>
            <w:r w:rsidRPr="00F26D28">
              <w:t>54 Izdaci za otplatu glavnice primljenih kredita i zajmova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F26D28" w:rsidRPr="00F26D28" w:rsidRDefault="00EC3AB1" w:rsidP="00F26D28">
            <w:pPr>
              <w:pStyle w:val="Bezproreda"/>
              <w:jc w:val="right"/>
            </w:pPr>
            <w:r>
              <w:t>70.000,00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F26D28" w:rsidRPr="00F26D28" w:rsidRDefault="00EC3AB1" w:rsidP="00F26D28">
            <w:pPr>
              <w:pStyle w:val="Bezproreda"/>
              <w:jc w:val="right"/>
            </w:pPr>
            <w:r>
              <w:t>74.000,00</w:t>
            </w:r>
          </w:p>
        </w:tc>
        <w:tc>
          <w:tcPr>
            <w:tcW w:w="2799" w:type="dxa"/>
            <w:gridSpan w:val="2"/>
            <w:shd w:val="clear" w:color="auto" w:fill="DEEAF6" w:themeFill="accent1" w:themeFillTint="33"/>
          </w:tcPr>
          <w:p w:rsidR="00F26D28" w:rsidRPr="00F26D28" w:rsidRDefault="00EC3AB1" w:rsidP="00F26D28">
            <w:pPr>
              <w:pStyle w:val="Bezproreda"/>
              <w:jc w:val="right"/>
            </w:pPr>
            <w:r>
              <w:t>80.000,00</w:t>
            </w:r>
          </w:p>
        </w:tc>
      </w:tr>
      <w:tr w:rsidR="00F26D28" w:rsidRPr="00F26D28" w:rsidTr="00F26D28">
        <w:tc>
          <w:tcPr>
            <w:tcW w:w="2943" w:type="dxa"/>
            <w:shd w:val="clear" w:color="auto" w:fill="BDD6EE" w:themeFill="accent1" w:themeFillTint="66"/>
          </w:tcPr>
          <w:p w:rsidR="00F26D28" w:rsidRPr="00F26D28" w:rsidRDefault="00F26D28" w:rsidP="00F26D28">
            <w:pPr>
              <w:pStyle w:val="Bezproreda"/>
            </w:pPr>
            <w:r w:rsidRPr="00F26D28">
              <w:t>9 Vlastiti izvori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F26D28" w:rsidRPr="00F26D28" w:rsidRDefault="00EC3AB1" w:rsidP="00EC3AB1">
            <w:pPr>
              <w:pStyle w:val="Bezproreda"/>
              <w:jc w:val="right"/>
            </w:pPr>
            <w:r>
              <w:t>502.328,00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F26D28" w:rsidRPr="00F26D28" w:rsidRDefault="00EC3AB1" w:rsidP="00EC3AB1">
            <w:pPr>
              <w:pStyle w:val="Bezproreda"/>
              <w:jc w:val="right"/>
            </w:pPr>
            <w:r>
              <w:t>830.200,00</w:t>
            </w:r>
          </w:p>
        </w:tc>
        <w:tc>
          <w:tcPr>
            <w:tcW w:w="2799" w:type="dxa"/>
            <w:gridSpan w:val="2"/>
            <w:shd w:val="clear" w:color="auto" w:fill="BDD6EE" w:themeFill="accent1" w:themeFillTint="66"/>
          </w:tcPr>
          <w:p w:rsidR="00F26D28" w:rsidRPr="00F26D28" w:rsidRDefault="00EC3AB1" w:rsidP="00EC3AB1">
            <w:pPr>
              <w:pStyle w:val="Bezproreda"/>
              <w:jc w:val="right"/>
            </w:pPr>
            <w:r>
              <w:t>603.234,00</w:t>
            </w:r>
          </w:p>
        </w:tc>
      </w:tr>
      <w:tr w:rsidR="00F26D28" w:rsidRPr="00F26D28" w:rsidTr="00F26D28">
        <w:tc>
          <w:tcPr>
            <w:tcW w:w="2943" w:type="dxa"/>
            <w:shd w:val="clear" w:color="auto" w:fill="DEEAF6" w:themeFill="accent1" w:themeFillTint="33"/>
          </w:tcPr>
          <w:p w:rsidR="00F26D28" w:rsidRPr="00F26D28" w:rsidRDefault="00F26D28" w:rsidP="00F26D28">
            <w:pPr>
              <w:pStyle w:val="Bezproreda"/>
            </w:pPr>
            <w:r w:rsidRPr="00F26D28">
              <w:lastRenderedPageBreak/>
              <w:t>92 Preneseni manjak iz prethodnog razdoblja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F26D28" w:rsidRPr="00F26D28" w:rsidRDefault="00F26D28" w:rsidP="00F26D28">
            <w:pPr>
              <w:pStyle w:val="Bezproreda"/>
              <w:jc w:val="right"/>
            </w:pPr>
            <w:r>
              <w:t>350.000,00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F26D28" w:rsidRPr="00F26D28" w:rsidRDefault="00F26D28" w:rsidP="00F26D28">
            <w:pPr>
              <w:pStyle w:val="Bezproreda"/>
              <w:jc w:val="right"/>
            </w:pPr>
            <w:r>
              <w:t>504.328,00</w:t>
            </w:r>
          </w:p>
        </w:tc>
        <w:tc>
          <w:tcPr>
            <w:tcW w:w="2799" w:type="dxa"/>
            <w:gridSpan w:val="2"/>
            <w:shd w:val="clear" w:color="auto" w:fill="DEEAF6" w:themeFill="accent1" w:themeFillTint="33"/>
          </w:tcPr>
          <w:p w:rsidR="00F26D28" w:rsidRPr="00F26D28" w:rsidRDefault="00F26D28" w:rsidP="00F26D28">
            <w:pPr>
              <w:pStyle w:val="Bezproreda"/>
              <w:jc w:val="right"/>
            </w:pPr>
            <w:r>
              <w:t>140.001,00</w:t>
            </w:r>
          </w:p>
        </w:tc>
      </w:tr>
      <w:tr w:rsidR="00CD6552" w:rsidRPr="00124EF1" w:rsidTr="00BD5CAC">
        <w:tc>
          <w:tcPr>
            <w:tcW w:w="2943" w:type="dxa"/>
            <w:shd w:val="clear" w:color="auto" w:fill="9CC2E5" w:themeFill="accent1" w:themeFillTint="99"/>
          </w:tcPr>
          <w:p w:rsidR="00CD6552" w:rsidRPr="00124EF1" w:rsidRDefault="00CD6552" w:rsidP="00684E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596" w:type="dxa"/>
            <w:shd w:val="clear" w:color="auto" w:fill="9CC2E5" w:themeFill="accent1" w:themeFillTint="99"/>
          </w:tcPr>
          <w:p w:rsidR="00CD6552" w:rsidRPr="00124EF1" w:rsidRDefault="00F26D28" w:rsidP="00684E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26.970.800,00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CD6552" w:rsidRPr="00124EF1" w:rsidRDefault="00F26D28" w:rsidP="00684E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21.436.650,00</w:t>
            </w:r>
          </w:p>
        </w:tc>
        <w:tc>
          <w:tcPr>
            <w:tcW w:w="2799" w:type="dxa"/>
            <w:gridSpan w:val="2"/>
            <w:shd w:val="clear" w:color="auto" w:fill="9CC2E5" w:themeFill="accent1" w:themeFillTint="99"/>
          </w:tcPr>
          <w:p w:rsidR="00CD6552" w:rsidRPr="00124EF1" w:rsidRDefault="00F26D28" w:rsidP="00684E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21.917.873,00</w:t>
            </w:r>
          </w:p>
        </w:tc>
      </w:tr>
    </w:tbl>
    <w:p w:rsidR="00CD6552" w:rsidRDefault="00CD6552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218" w:rsidRDefault="00FC1218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FC1218" w:rsidRDefault="00FC1218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F13EE3" w:rsidRPr="008B5291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Rashodi poslovanja</w:t>
      </w:r>
    </w:p>
    <w:p w:rsidR="00404F71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Rashodi poslovanja planirani su u iznosu od </w:t>
      </w:r>
      <w:r w:rsidR="00EC3AB1">
        <w:rPr>
          <w:rFonts w:ascii="Times New Roman" w:hAnsi="Times New Roman" w:cs="Times New Roman"/>
          <w:sz w:val="24"/>
          <w:szCs w:val="24"/>
        </w:rPr>
        <w:t>11.935.392,00 kune</w:t>
      </w:r>
      <w:r w:rsidR="00404F71">
        <w:rPr>
          <w:rFonts w:ascii="Times New Roman" w:hAnsi="Times New Roman" w:cs="Times New Roman"/>
          <w:sz w:val="24"/>
          <w:szCs w:val="24"/>
        </w:rPr>
        <w:t xml:space="preserve"> i odnose se na</w:t>
      </w:r>
      <w:r w:rsidR="00BE09B8" w:rsidRPr="00CB19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4F71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F7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ashodi</w:t>
      </w:r>
      <w:r w:rsidR="00F13EE3" w:rsidRPr="00404F71">
        <w:rPr>
          <w:rFonts w:ascii="Times New Roman" w:hAnsi="Times New Roman" w:cs="Times New Roman"/>
          <w:sz w:val="24"/>
          <w:szCs w:val="24"/>
        </w:rPr>
        <w:t xml:space="preserve"> za zaposlene</w:t>
      </w:r>
      <w:r w:rsidRPr="00404F71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EC3AB1">
        <w:rPr>
          <w:rFonts w:ascii="Times New Roman" w:hAnsi="Times New Roman" w:cs="Times New Roman"/>
          <w:sz w:val="24"/>
          <w:szCs w:val="24"/>
        </w:rPr>
        <w:t>3.495.492,00 kune</w:t>
      </w:r>
      <w:r w:rsidRPr="00404F71">
        <w:rPr>
          <w:rFonts w:ascii="Times New Roman" w:hAnsi="Times New Roman" w:cs="Times New Roman"/>
          <w:sz w:val="24"/>
          <w:szCs w:val="24"/>
        </w:rPr>
        <w:t xml:space="preserve"> koji se odnose na plaće i doprinose za zaposlene te ostale rashode za zaposlene (božićnice, otpremnine</w:t>
      </w:r>
      <w:r w:rsidR="006878C6">
        <w:rPr>
          <w:rFonts w:ascii="Times New Roman" w:hAnsi="Times New Roman" w:cs="Times New Roman"/>
          <w:sz w:val="24"/>
          <w:szCs w:val="24"/>
        </w:rPr>
        <w:t>, regres, jubilarne nagrade). Tu</w:t>
      </w:r>
      <w:r w:rsidRPr="00404F71">
        <w:rPr>
          <w:rFonts w:ascii="Times New Roman" w:hAnsi="Times New Roman" w:cs="Times New Roman"/>
          <w:sz w:val="24"/>
          <w:szCs w:val="24"/>
        </w:rPr>
        <w:t xml:space="preserve"> </w:t>
      </w:r>
      <w:r w:rsidRPr="00404F71">
        <w:rPr>
          <w:rFonts w:ascii="Times New Roman" w:eastAsia="Calibri" w:hAnsi="Times New Roman" w:cs="Times New Roman"/>
          <w:bCs/>
          <w:sz w:val="24"/>
          <w:szCs w:val="24"/>
        </w:rPr>
        <w:t>su uključeni i rashodi za zaposlene u proračunskom k</w:t>
      </w:r>
      <w:r w:rsidR="00C00094">
        <w:rPr>
          <w:rFonts w:ascii="Times New Roman" w:eastAsia="Calibri" w:hAnsi="Times New Roman" w:cs="Times New Roman"/>
          <w:bCs/>
          <w:sz w:val="24"/>
          <w:szCs w:val="24"/>
        </w:rPr>
        <w:t>orisniku Dječji vrtić "</w:t>
      </w:r>
      <w:r w:rsidR="00FC1218">
        <w:rPr>
          <w:rFonts w:ascii="Times New Roman" w:eastAsia="Calibri" w:hAnsi="Times New Roman" w:cs="Times New Roman"/>
          <w:bCs/>
          <w:sz w:val="24"/>
          <w:szCs w:val="24"/>
        </w:rPr>
        <w:t>Cvrčak Posedarje“</w:t>
      </w:r>
      <w:r w:rsidR="00C0009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04F71">
        <w:rPr>
          <w:rFonts w:ascii="Times New Roman" w:eastAsia="Calibri" w:hAnsi="Times New Roman" w:cs="Times New Roman"/>
          <w:bCs/>
          <w:sz w:val="24"/>
          <w:szCs w:val="24"/>
        </w:rPr>
        <w:t xml:space="preserve"> koji se financira</w:t>
      </w:r>
      <w:r w:rsidRPr="00404F71">
        <w:rPr>
          <w:rFonts w:ascii="Times New Roman" w:hAnsi="Times New Roman" w:cs="Times New Roman"/>
          <w:bCs/>
          <w:sz w:val="24"/>
          <w:szCs w:val="24"/>
        </w:rPr>
        <w:t>ju</w:t>
      </w:r>
      <w:r w:rsidRPr="00404F71">
        <w:rPr>
          <w:rFonts w:ascii="Times New Roman" w:eastAsia="Calibri" w:hAnsi="Times New Roman" w:cs="Times New Roman"/>
          <w:bCs/>
          <w:sz w:val="24"/>
          <w:szCs w:val="24"/>
        </w:rPr>
        <w:t xml:space="preserve"> iz proračuna Općine </w:t>
      </w:r>
      <w:r w:rsidR="00FC1218">
        <w:rPr>
          <w:rFonts w:ascii="Times New Roman" w:eastAsia="Calibri" w:hAnsi="Times New Roman" w:cs="Times New Roman"/>
          <w:bCs/>
          <w:sz w:val="24"/>
          <w:szCs w:val="24"/>
        </w:rPr>
        <w:t>Posedarje</w:t>
      </w:r>
      <w:r w:rsidRPr="00404F7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04F71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u iznosi od </w:t>
      </w:r>
      <w:r w:rsidR="00EC3AB1">
        <w:rPr>
          <w:rFonts w:ascii="Times New Roman" w:hAnsi="Times New Roman" w:cs="Times New Roman"/>
          <w:bCs/>
          <w:sz w:val="24"/>
          <w:szCs w:val="24"/>
        </w:rPr>
        <w:t>6.374.750,00 kuna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04F71">
        <w:rPr>
          <w:rFonts w:ascii="Times New Roman" w:hAnsi="Times New Roman" w:cs="Times New Roman"/>
          <w:bCs/>
          <w:sz w:val="24"/>
          <w:szCs w:val="24"/>
        </w:rPr>
        <w:t xml:space="preserve">a to su: </w:t>
      </w:r>
      <w:r>
        <w:rPr>
          <w:rFonts w:ascii="Times New Roman" w:hAnsi="Times New Roman" w:cs="Times New Roman"/>
          <w:bCs/>
          <w:sz w:val="24"/>
          <w:szCs w:val="24"/>
        </w:rPr>
        <w:t xml:space="preserve">naknade troškova zaposlenima (stručni usavršavanje i službena putovanja), </w:t>
      </w:r>
      <w:r w:rsidRPr="00404F71">
        <w:rPr>
          <w:rFonts w:ascii="Times New Roman" w:hAnsi="Times New Roman" w:cs="Times New Roman"/>
          <w:bCs/>
          <w:sz w:val="24"/>
          <w:szCs w:val="24"/>
        </w:rPr>
        <w:t>rashodi za materijal i energiju (električna energija, uredski materijal, materijal i sirovine za Dječji vrtić „</w:t>
      </w:r>
      <w:r w:rsidR="00FC1218">
        <w:rPr>
          <w:rFonts w:ascii="Times New Roman" w:hAnsi="Times New Roman" w:cs="Times New Roman"/>
          <w:bCs/>
          <w:sz w:val="24"/>
          <w:szCs w:val="24"/>
        </w:rPr>
        <w:t>Cvrčak Posedarje</w:t>
      </w:r>
      <w:r w:rsidRPr="00404F71">
        <w:rPr>
          <w:rFonts w:ascii="Times New Roman" w:hAnsi="Times New Roman" w:cs="Times New Roman"/>
          <w:bCs/>
          <w:sz w:val="24"/>
          <w:szCs w:val="24"/>
        </w:rPr>
        <w:t xml:space="preserve">“),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F71">
        <w:rPr>
          <w:rFonts w:ascii="Times New Roman" w:hAnsi="Times New Roman" w:cs="Times New Roman"/>
          <w:bCs/>
          <w:sz w:val="24"/>
          <w:szCs w:val="24"/>
        </w:rPr>
        <w:t>rashodi za usluge (usluge telefona i mobitela, poštarina, usluge promidžbe i informiranja, opskrba vodom, intelektualne usluge</w:t>
      </w:r>
      <w:r>
        <w:rPr>
          <w:rFonts w:ascii="Times New Roman" w:hAnsi="Times New Roman" w:cs="Times New Roman"/>
          <w:bCs/>
          <w:sz w:val="24"/>
          <w:szCs w:val="24"/>
        </w:rPr>
        <w:t>, usluge tekućeg i investicijskog održavanja, računalne usluge</w:t>
      </w:r>
      <w:r w:rsidRPr="00404F71">
        <w:rPr>
          <w:rFonts w:ascii="Times New Roman" w:hAnsi="Times New Roman" w:cs="Times New Roman"/>
          <w:bCs/>
          <w:sz w:val="24"/>
          <w:szCs w:val="24"/>
        </w:rPr>
        <w:t>), te ostali nespomenuti rashodi poslovanja</w:t>
      </w:r>
      <w:r>
        <w:rPr>
          <w:rFonts w:ascii="Times New Roman" w:hAnsi="Times New Roman" w:cs="Times New Roman"/>
          <w:bCs/>
          <w:sz w:val="24"/>
          <w:szCs w:val="24"/>
        </w:rPr>
        <w:t xml:space="preserve"> (premi</w:t>
      </w:r>
      <w:r w:rsidR="00AE399C">
        <w:rPr>
          <w:rFonts w:ascii="Times New Roman" w:hAnsi="Times New Roman" w:cs="Times New Roman"/>
          <w:bCs/>
          <w:sz w:val="24"/>
          <w:szCs w:val="24"/>
        </w:rPr>
        <w:t xml:space="preserve">je osiguranja, reprezentacija, </w:t>
      </w:r>
      <w:r>
        <w:rPr>
          <w:rFonts w:ascii="Times New Roman" w:hAnsi="Times New Roman" w:cs="Times New Roman"/>
          <w:bCs/>
          <w:sz w:val="24"/>
          <w:szCs w:val="24"/>
        </w:rPr>
        <w:t>članarine, pristojbe i naknade i ostali rashodi poslovanja)</w:t>
      </w:r>
      <w:r w:rsidRPr="00404F71">
        <w:rPr>
          <w:rFonts w:ascii="Times New Roman" w:hAnsi="Times New Roman" w:cs="Times New Roman"/>
          <w:bCs/>
          <w:sz w:val="24"/>
          <w:szCs w:val="24"/>
        </w:rPr>
        <w:t>.</w:t>
      </w:r>
    </w:p>
    <w:p w:rsidR="00404F71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Financijski rashodi u iznosu od </w:t>
      </w:r>
      <w:r w:rsidR="00EC3AB1">
        <w:rPr>
          <w:rFonts w:ascii="Times New Roman" w:hAnsi="Times New Roman" w:cs="Times New Roman"/>
          <w:bCs/>
          <w:sz w:val="24"/>
          <w:szCs w:val="24"/>
        </w:rPr>
        <w:t>84.500,00 kuna</w:t>
      </w:r>
      <w:r>
        <w:rPr>
          <w:rFonts w:ascii="Times New Roman" w:hAnsi="Times New Roman" w:cs="Times New Roman"/>
          <w:bCs/>
          <w:sz w:val="24"/>
          <w:szCs w:val="24"/>
        </w:rPr>
        <w:t xml:space="preserve"> i odnose se na </w:t>
      </w:r>
      <w:r w:rsidRPr="00404F71">
        <w:rPr>
          <w:rFonts w:ascii="Times New Roman" w:hAnsi="Times New Roman" w:cs="Times New Roman"/>
          <w:bCs/>
          <w:sz w:val="24"/>
          <w:szCs w:val="24"/>
        </w:rPr>
        <w:t xml:space="preserve">bankarske usluge i usluge platnog prometa, </w:t>
      </w:r>
      <w:r>
        <w:rPr>
          <w:rFonts w:ascii="Times New Roman" w:hAnsi="Times New Roman" w:cs="Times New Roman"/>
          <w:bCs/>
          <w:sz w:val="24"/>
          <w:szCs w:val="24"/>
        </w:rPr>
        <w:t xml:space="preserve">zatezne kamate </w:t>
      </w:r>
      <w:r w:rsidR="00FC1218">
        <w:rPr>
          <w:rFonts w:ascii="Times New Roman" w:hAnsi="Times New Roman" w:cs="Times New Roman"/>
          <w:bCs/>
          <w:sz w:val="24"/>
          <w:szCs w:val="24"/>
        </w:rPr>
        <w:t>iz redovitih poslovnih odnosa te zatezne kamate za primljeni financijski leasing.</w:t>
      </w:r>
    </w:p>
    <w:p w:rsidR="00404F71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Pomoći dane u inozemstvo i unutar općeg proračuna u iznosu od </w:t>
      </w:r>
      <w:r w:rsidR="00EC3AB1">
        <w:rPr>
          <w:rFonts w:ascii="Times New Roman" w:hAnsi="Times New Roman" w:cs="Times New Roman"/>
          <w:bCs/>
          <w:sz w:val="24"/>
          <w:szCs w:val="24"/>
        </w:rPr>
        <w:t>32.200,00kune</w:t>
      </w:r>
      <w:r>
        <w:rPr>
          <w:rFonts w:ascii="Times New Roman" w:hAnsi="Times New Roman" w:cs="Times New Roman"/>
          <w:bCs/>
          <w:sz w:val="24"/>
          <w:szCs w:val="24"/>
        </w:rPr>
        <w:t xml:space="preserve"> i odnose se na tekuće i kapitalne pomoći proračunskim korisnicima drugih proračuna (Gradska knjižnica Zadar za sufinanciranje Bibliobusa</w:t>
      </w:r>
      <w:r w:rsidR="006F7B4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C1218">
        <w:rPr>
          <w:rFonts w:ascii="Times New Roman" w:hAnsi="Times New Roman" w:cs="Times New Roman"/>
          <w:bCs/>
          <w:sz w:val="24"/>
          <w:szCs w:val="24"/>
        </w:rPr>
        <w:t>sufinanciranje dječjeg vrtića Latica Zadar za boravak djece s posebnim potrebama.</w:t>
      </w:r>
    </w:p>
    <w:p w:rsidR="006F7B4A" w:rsidRDefault="006F7B4A" w:rsidP="006F7B4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Naknade građanima i kućanstvima na temelju osiguranja i druge naknade u i</w:t>
      </w:r>
      <w:r w:rsidR="00DE0840">
        <w:rPr>
          <w:rFonts w:ascii="Times New Roman" w:hAnsi="Times New Roman" w:cs="Times New Roman"/>
          <w:bCs/>
          <w:sz w:val="24"/>
          <w:szCs w:val="24"/>
        </w:rPr>
        <w:t xml:space="preserve">znosu od </w:t>
      </w:r>
      <w:r w:rsidR="00EC3AB1">
        <w:rPr>
          <w:rFonts w:ascii="Times New Roman" w:hAnsi="Times New Roman" w:cs="Times New Roman"/>
          <w:bCs/>
          <w:sz w:val="24"/>
          <w:szCs w:val="24"/>
        </w:rPr>
        <w:t>671.000,00 kune</w:t>
      </w:r>
      <w:r w:rsidR="00DE0840">
        <w:rPr>
          <w:rFonts w:ascii="Times New Roman" w:hAnsi="Times New Roman" w:cs="Times New Roman"/>
          <w:bCs/>
          <w:sz w:val="24"/>
          <w:szCs w:val="24"/>
        </w:rPr>
        <w:t xml:space="preserve"> i odnose</w:t>
      </w:r>
      <w:r>
        <w:rPr>
          <w:rFonts w:ascii="Times New Roman" w:hAnsi="Times New Roman" w:cs="Times New Roman"/>
          <w:bCs/>
          <w:sz w:val="24"/>
          <w:szCs w:val="24"/>
        </w:rPr>
        <w:t xml:space="preserve"> se na namjene predviđene programom socijalne zaštite (</w:t>
      </w:r>
      <w:r w:rsidR="00310CE9">
        <w:rPr>
          <w:rFonts w:ascii="Times New Roman" w:hAnsi="Times New Roman" w:cs="Times New Roman"/>
          <w:bCs/>
          <w:sz w:val="24"/>
          <w:szCs w:val="24"/>
        </w:rPr>
        <w:t xml:space="preserve">sufinanciranje prijevoza djece s posebnim potrebama u dječji vrtić Latica, </w:t>
      </w:r>
      <w:r>
        <w:rPr>
          <w:rFonts w:ascii="Times New Roman" w:hAnsi="Times New Roman" w:cs="Times New Roman"/>
          <w:bCs/>
          <w:sz w:val="24"/>
          <w:szCs w:val="24"/>
        </w:rPr>
        <w:t xml:space="preserve"> naknade roditeljima novorođene djece te ostale naknade i pomoći stanovništvu), stipendije studentima, sufinanciranje prijevoza učenika srednjih škola te sufinanciranje nabave radnog mat</w:t>
      </w:r>
      <w:r w:rsidR="00310CE9">
        <w:rPr>
          <w:rFonts w:ascii="Times New Roman" w:hAnsi="Times New Roman" w:cs="Times New Roman"/>
          <w:bCs/>
          <w:sz w:val="24"/>
          <w:szCs w:val="24"/>
        </w:rPr>
        <w:t>erijala učenicima osnovne škole, sufinanciranje kupnje likovnih kutija za učenike osnovnih škola.</w:t>
      </w:r>
    </w:p>
    <w:p w:rsidR="008E4D45" w:rsidRPr="00310CE9" w:rsidRDefault="006F7B4A" w:rsidP="00F13EE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E9">
        <w:rPr>
          <w:rFonts w:ascii="Times New Roman" w:hAnsi="Times New Roman" w:cs="Times New Roman"/>
          <w:bCs/>
          <w:sz w:val="24"/>
          <w:szCs w:val="24"/>
        </w:rPr>
        <w:t xml:space="preserve">Ostali rashodi u iznosu od </w:t>
      </w:r>
      <w:r w:rsidR="00EC3AB1">
        <w:rPr>
          <w:rFonts w:ascii="Times New Roman" w:hAnsi="Times New Roman" w:cs="Times New Roman"/>
          <w:bCs/>
          <w:sz w:val="24"/>
          <w:szCs w:val="24"/>
        </w:rPr>
        <w:t>1.277.450,00 kuna</w:t>
      </w:r>
      <w:r w:rsidRPr="00310CE9">
        <w:rPr>
          <w:rFonts w:ascii="Times New Roman" w:hAnsi="Times New Roman" w:cs="Times New Roman"/>
          <w:bCs/>
          <w:sz w:val="24"/>
          <w:szCs w:val="24"/>
        </w:rPr>
        <w:t xml:space="preserve"> koji se odnose  na tekuće donacije u novcu, </w:t>
      </w:r>
      <w:r w:rsidR="00F5251B" w:rsidRPr="00310CE9">
        <w:rPr>
          <w:rFonts w:ascii="Times New Roman" w:hAnsi="Times New Roman" w:cs="Times New Roman"/>
          <w:bCs/>
          <w:sz w:val="24"/>
          <w:szCs w:val="24"/>
        </w:rPr>
        <w:t xml:space="preserve"> (tekuće donacije u kulturi, sportu, turizmu, školstvu, tekuće donacije udrugama, donacije vjerskim zajednicama, donacije za rad političkih stranaka</w:t>
      </w:r>
      <w:r w:rsidR="00310CE9">
        <w:rPr>
          <w:rFonts w:ascii="Times New Roman" w:hAnsi="Times New Roman" w:cs="Times New Roman"/>
          <w:bCs/>
          <w:sz w:val="24"/>
          <w:szCs w:val="24"/>
        </w:rPr>
        <w:t>).</w:t>
      </w:r>
    </w:p>
    <w:p w:rsidR="00310CE9" w:rsidRDefault="00310CE9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F13EE3" w:rsidRPr="008B5291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 xml:space="preserve">Rashodi za nabavu nefinancijske imovine </w:t>
      </w:r>
    </w:p>
    <w:p w:rsidR="008E4D4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u iznosu od </w:t>
      </w:r>
      <w:r w:rsidR="00EC3AB1">
        <w:rPr>
          <w:rFonts w:ascii="Times New Roman" w:hAnsi="Times New Roman" w:cs="Times New Roman"/>
          <w:sz w:val="24"/>
          <w:szCs w:val="24"/>
        </w:rPr>
        <w:t>7.621.880,00 kuna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i </w:t>
      </w:r>
      <w:r w:rsidR="00BE09B8" w:rsidRPr="00CB1916">
        <w:rPr>
          <w:rFonts w:ascii="Times New Roman" w:hAnsi="Times New Roman" w:cs="Times New Roman"/>
          <w:sz w:val="24"/>
          <w:szCs w:val="24"/>
        </w:rPr>
        <w:t>odnose se na</w:t>
      </w:r>
      <w:r w:rsidR="008E4D45">
        <w:rPr>
          <w:rFonts w:ascii="Times New Roman" w:hAnsi="Times New Roman" w:cs="Times New Roman"/>
          <w:sz w:val="24"/>
          <w:szCs w:val="24"/>
        </w:rPr>
        <w:t>:</w:t>
      </w:r>
    </w:p>
    <w:p w:rsidR="008E4D45" w:rsidRPr="008E4D45" w:rsidRDefault="008E4D45" w:rsidP="008E4D4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E09B8" w:rsidRPr="008E4D45">
        <w:rPr>
          <w:rFonts w:ascii="Times New Roman" w:hAnsi="Times New Roman" w:cs="Times New Roman"/>
          <w:sz w:val="24"/>
          <w:szCs w:val="24"/>
        </w:rPr>
        <w:t xml:space="preserve">ashode </w:t>
      </w:r>
      <w:r w:rsidR="00F13EE3" w:rsidRPr="008E4D45">
        <w:rPr>
          <w:rFonts w:ascii="Times New Roman" w:hAnsi="Times New Roman" w:cs="Times New Roman"/>
          <w:sz w:val="24"/>
          <w:szCs w:val="24"/>
        </w:rPr>
        <w:t>za nabavu ne</w:t>
      </w:r>
      <w:r w:rsidR="00BE09B8" w:rsidRPr="008E4D45">
        <w:rPr>
          <w:rFonts w:ascii="Times New Roman" w:hAnsi="Times New Roman" w:cs="Times New Roman"/>
          <w:sz w:val="24"/>
          <w:szCs w:val="24"/>
        </w:rPr>
        <w:t>proizvedene dugotrajne imovine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C3AB1">
        <w:rPr>
          <w:rFonts w:ascii="Times New Roman" w:hAnsi="Times New Roman" w:cs="Times New Roman"/>
          <w:sz w:val="24"/>
          <w:szCs w:val="24"/>
        </w:rPr>
        <w:t>2.478.000,00 kuna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836E7">
        <w:rPr>
          <w:rFonts w:ascii="Times New Roman" w:hAnsi="Times New Roman" w:cs="Times New Roman"/>
          <w:sz w:val="24"/>
          <w:szCs w:val="24"/>
        </w:rPr>
        <w:t>ulaganje u tuđu imovinu radi prava korištenja</w:t>
      </w:r>
      <w:r>
        <w:rPr>
          <w:rFonts w:ascii="Times New Roman" w:hAnsi="Times New Roman" w:cs="Times New Roman"/>
          <w:sz w:val="24"/>
          <w:szCs w:val="24"/>
        </w:rPr>
        <w:t xml:space="preserve"> i projektne dokumentacije za projekte predviđene ovim proračunom).</w:t>
      </w:r>
    </w:p>
    <w:p w:rsidR="008E4D45" w:rsidRDefault="008E4D45" w:rsidP="008E4D4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D45">
        <w:rPr>
          <w:rFonts w:ascii="Times New Roman" w:hAnsi="Times New Roman" w:cs="Times New Roman"/>
          <w:sz w:val="24"/>
          <w:szCs w:val="24"/>
        </w:rPr>
        <w:t>R</w:t>
      </w:r>
      <w:r w:rsidR="00BE09B8" w:rsidRPr="008E4D45">
        <w:rPr>
          <w:rFonts w:ascii="Times New Roman" w:hAnsi="Times New Roman" w:cs="Times New Roman"/>
          <w:sz w:val="24"/>
          <w:szCs w:val="24"/>
        </w:rPr>
        <w:t>ashode</w:t>
      </w:r>
      <w:r w:rsidR="00F13EE3" w:rsidRPr="008E4D45">
        <w:rPr>
          <w:rFonts w:ascii="Times New Roman" w:hAnsi="Times New Roman" w:cs="Times New Roman"/>
          <w:sz w:val="24"/>
          <w:szCs w:val="24"/>
        </w:rPr>
        <w:t xml:space="preserve"> za nabavu proizvedene dugotrajne imovine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836E7">
        <w:rPr>
          <w:rFonts w:ascii="Times New Roman" w:hAnsi="Times New Roman" w:cs="Times New Roman"/>
          <w:sz w:val="24"/>
          <w:szCs w:val="24"/>
        </w:rPr>
        <w:t xml:space="preserve"> 5.143.880,00 kuna</w:t>
      </w:r>
      <w:r>
        <w:rPr>
          <w:rFonts w:ascii="Times New Roman" w:hAnsi="Times New Roman" w:cs="Times New Roman"/>
          <w:sz w:val="24"/>
          <w:szCs w:val="24"/>
        </w:rPr>
        <w:t xml:space="preserve"> (izgradnja objekata planiranih ovim proračunom, </w:t>
      </w:r>
      <w:r w:rsidR="001A6CCB">
        <w:rPr>
          <w:rFonts w:ascii="Times New Roman" w:hAnsi="Times New Roman" w:cs="Times New Roman"/>
          <w:sz w:val="24"/>
          <w:szCs w:val="24"/>
        </w:rPr>
        <w:t>te nabava postrojenja i opreme -</w:t>
      </w:r>
      <w:r>
        <w:rPr>
          <w:rFonts w:ascii="Times New Roman" w:hAnsi="Times New Roman" w:cs="Times New Roman"/>
          <w:sz w:val="24"/>
          <w:szCs w:val="24"/>
        </w:rPr>
        <w:t>uredska, komun</w:t>
      </w:r>
      <w:r w:rsidR="001A6CCB">
        <w:rPr>
          <w:rFonts w:ascii="Times New Roman" w:hAnsi="Times New Roman" w:cs="Times New Roman"/>
          <w:sz w:val="24"/>
          <w:szCs w:val="24"/>
        </w:rPr>
        <w:t>alna, računalna</w:t>
      </w:r>
      <w:r w:rsidR="00310C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460D" w:rsidRDefault="00BF460D" w:rsidP="008E4D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D45" w:rsidRPr="008E4D45" w:rsidRDefault="008E4D45" w:rsidP="008E4D45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E4D45">
        <w:rPr>
          <w:rFonts w:ascii="Bahnschrift SemiBold SemiConden" w:hAnsi="Bahnschrift SemiBold SemiConden" w:cs="Times New Roman"/>
          <w:b/>
          <w:sz w:val="28"/>
          <w:szCs w:val="28"/>
        </w:rPr>
        <w:lastRenderedPageBreak/>
        <w:t xml:space="preserve">2.2.2. RASHODI PO IZVORIMA FINANCIRANJA </w:t>
      </w:r>
    </w:p>
    <w:p w:rsidR="008E4D45" w:rsidRPr="008E4D45" w:rsidRDefault="008E4D45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8E4D45">
        <w:rPr>
          <w:rFonts w:ascii="Times New Roman" w:hAnsi="Times New Roman" w:cs="Times New Roman"/>
          <w:sz w:val="24"/>
          <w:szCs w:val="24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</w:t>
      </w:r>
    </w:p>
    <w:p w:rsidR="00070835" w:rsidRDefault="00A8519D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 su</w:t>
      </w:r>
      <w:r w:rsidR="008E4D45" w:rsidRPr="008E4D45">
        <w:rPr>
          <w:rFonts w:ascii="Times New Roman" w:hAnsi="Times New Roman" w:cs="Times New Roman"/>
          <w:sz w:val="24"/>
          <w:szCs w:val="24"/>
        </w:rPr>
        <w:t xml:space="preserve">: opći prihodi i primici, </w:t>
      </w:r>
      <w:r w:rsidR="00036D59">
        <w:rPr>
          <w:rFonts w:ascii="Times New Roman" w:hAnsi="Times New Roman" w:cs="Times New Roman"/>
          <w:sz w:val="24"/>
          <w:szCs w:val="24"/>
        </w:rPr>
        <w:t xml:space="preserve">doprinosi, vlastiti prihodi, </w:t>
      </w:r>
      <w:r w:rsidR="008E4D45" w:rsidRPr="008E4D45">
        <w:rPr>
          <w:rFonts w:ascii="Times New Roman" w:hAnsi="Times New Roman" w:cs="Times New Roman"/>
          <w:sz w:val="24"/>
          <w:szCs w:val="24"/>
        </w:rPr>
        <w:t>prihodi za posebne namjene, pomoći,</w:t>
      </w:r>
      <w:r w:rsidR="00036D59">
        <w:rPr>
          <w:rFonts w:ascii="Times New Roman" w:hAnsi="Times New Roman" w:cs="Times New Roman"/>
          <w:sz w:val="24"/>
          <w:szCs w:val="24"/>
        </w:rPr>
        <w:t xml:space="preserve"> donacije, </w:t>
      </w:r>
      <w:r w:rsidR="008E4D45" w:rsidRPr="008E4D45">
        <w:rPr>
          <w:rFonts w:ascii="Times New Roman" w:hAnsi="Times New Roman" w:cs="Times New Roman"/>
          <w:sz w:val="24"/>
          <w:szCs w:val="24"/>
        </w:rPr>
        <w:t>prihodi od prodaje ili zamjene nefinancijske imovine i naknade s naslova osiguranja te namjenski primici.</w:t>
      </w:r>
    </w:p>
    <w:p w:rsidR="00A8519D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>Izvor finan</w:t>
      </w:r>
      <w:r>
        <w:rPr>
          <w:rFonts w:ascii="Times New Roman" w:hAnsi="Times New Roman" w:cs="Times New Roman"/>
          <w:sz w:val="24"/>
          <w:szCs w:val="24"/>
        </w:rPr>
        <w:t xml:space="preserve">ciranja </w:t>
      </w:r>
      <w:r w:rsidRPr="00A8519D">
        <w:rPr>
          <w:rFonts w:ascii="Times New Roman" w:hAnsi="Times New Roman" w:cs="Times New Roman"/>
          <w:b/>
          <w:sz w:val="24"/>
          <w:szCs w:val="24"/>
        </w:rPr>
        <w:t xml:space="preserve">opći prihodi i primici </w:t>
      </w:r>
      <w:r w:rsidRPr="00A8519D">
        <w:rPr>
          <w:rFonts w:ascii="Times New Roman" w:hAnsi="Times New Roman" w:cs="Times New Roman"/>
          <w:sz w:val="24"/>
          <w:szCs w:val="24"/>
        </w:rPr>
        <w:t>čine prihodi koji se ostvaruju temeljem posebnog propisa kojim za prikupljene prihode nije definirana namjena korištenja. Ovaj izvor financiranja čine slijedeće vrste prihoda: prihodi od poreza</w:t>
      </w:r>
      <w:r>
        <w:rPr>
          <w:rFonts w:ascii="Times New Roman" w:hAnsi="Times New Roman" w:cs="Times New Roman"/>
          <w:sz w:val="24"/>
          <w:szCs w:val="24"/>
        </w:rPr>
        <w:t>, prihodi od financijske i</w:t>
      </w:r>
      <w:r w:rsidRPr="00A8519D">
        <w:rPr>
          <w:rFonts w:ascii="Times New Roman" w:hAnsi="Times New Roman" w:cs="Times New Roman"/>
          <w:sz w:val="24"/>
          <w:szCs w:val="24"/>
        </w:rPr>
        <w:t xml:space="preserve"> nefinancijske imovine, prihodi od upravnih i administrativnih pristojbi, prihodi od kazni te </w:t>
      </w:r>
      <w:r>
        <w:rPr>
          <w:rFonts w:ascii="Times New Roman" w:hAnsi="Times New Roman" w:cs="Times New Roman"/>
          <w:sz w:val="24"/>
          <w:szCs w:val="24"/>
        </w:rPr>
        <w:t xml:space="preserve">ostali opći prihodi i primici u ukupnom iznosu od </w:t>
      </w:r>
      <w:r w:rsidR="00D836E7">
        <w:rPr>
          <w:rFonts w:ascii="Times New Roman" w:hAnsi="Times New Roman" w:cs="Times New Roman"/>
          <w:sz w:val="24"/>
          <w:szCs w:val="24"/>
        </w:rPr>
        <w:t>9.963.392,00 kuna.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90F" w:rsidRDefault="009F490F" w:rsidP="00A8519D">
      <w:pPr>
        <w:jc w:val="both"/>
        <w:rPr>
          <w:rFonts w:ascii="Times New Roman" w:hAnsi="Times New Roman"/>
          <w:sz w:val="24"/>
          <w:szCs w:val="24"/>
        </w:rPr>
      </w:pPr>
      <w:r w:rsidRPr="00D836E7">
        <w:rPr>
          <w:rFonts w:ascii="Times New Roman" w:hAnsi="Times New Roman"/>
          <w:b/>
          <w:sz w:val="24"/>
          <w:szCs w:val="24"/>
        </w:rPr>
        <w:t>Vlastiti prihodi su prihodi</w:t>
      </w:r>
      <w:r w:rsidRPr="00021D45">
        <w:rPr>
          <w:rFonts w:ascii="Times New Roman" w:hAnsi="Times New Roman"/>
          <w:sz w:val="24"/>
          <w:szCs w:val="24"/>
        </w:rPr>
        <w:t xml:space="preserve"> koje </w:t>
      </w:r>
      <w:r>
        <w:rPr>
          <w:rFonts w:ascii="Times New Roman" w:hAnsi="Times New Roman"/>
          <w:sz w:val="24"/>
          <w:szCs w:val="24"/>
        </w:rPr>
        <w:t>proračun</w:t>
      </w:r>
      <w:r w:rsidRPr="00021D45">
        <w:rPr>
          <w:rFonts w:ascii="Times New Roman" w:hAnsi="Times New Roman"/>
          <w:sz w:val="24"/>
          <w:szCs w:val="24"/>
        </w:rPr>
        <w:t xml:space="preserve"> ostvari obavljanjem poslova na tržištu i u tržišnim uvjetima, a koje poslove mogu obavljati i drugi pravni subjekti izvan općeg proračuna, a njihov plan za 20</w:t>
      </w:r>
      <w:r>
        <w:rPr>
          <w:rFonts w:ascii="Times New Roman" w:hAnsi="Times New Roman"/>
          <w:sz w:val="24"/>
          <w:szCs w:val="24"/>
        </w:rPr>
        <w:t>2</w:t>
      </w:r>
      <w:r w:rsidR="00D836E7">
        <w:rPr>
          <w:rFonts w:ascii="Times New Roman" w:hAnsi="Times New Roman"/>
          <w:sz w:val="24"/>
          <w:szCs w:val="24"/>
        </w:rPr>
        <w:t>1</w:t>
      </w:r>
      <w:r w:rsidRPr="00021D45">
        <w:rPr>
          <w:rFonts w:ascii="Times New Roman" w:hAnsi="Times New Roman"/>
          <w:sz w:val="24"/>
          <w:szCs w:val="24"/>
        </w:rPr>
        <w:t xml:space="preserve"> godinu iznosi </w:t>
      </w:r>
      <w:r w:rsidR="00D836E7">
        <w:rPr>
          <w:rFonts w:ascii="Times New Roman" w:hAnsi="Times New Roman"/>
          <w:sz w:val="24"/>
          <w:szCs w:val="24"/>
        </w:rPr>
        <w:t xml:space="preserve">356.880,00 </w:t>
      </w:r>
      <w:r w:rsidRPr="00021D45">
        <w:rPr>
          <w:rFonts w:ascii="Times New Roman" w:hAnsi="Times New Roman"/>
          <w:sz w:val="24"/>
          <w:szCs w:val="24"/>
        </w:rPr>
        <w:t xml:space="preserve"> kuna. </w:t>
      </w:r>
    </w:p>
    <w:p w:rsidR="009F490F" w:rsidRPr="009F490F" w:rsidRDefault="009F490F" w:rsidP="00A8519D">
      <w:pPr>
        <w:jc w:val="both"/>
        <w:rPr>
          <w:rFonts w:ascii="Times New Roman" w:hAnsi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036D59">
        <w:rPr>
          <w:rFonts w:ascii="Times New Roman" w:hAnsi="Times New Roman" w:cs="Times New Roman"/>
          <w:b/>
          <w:sz w:val="24"/>
          <w:szCs w:val="24"/>
        </w:rPr>
        <w:t>prihodi za posebne namjene</w:t>
      </w:r>
      <w:r w:rsidRPr="00A8519D">
        <w:rPr>
          <w:rFonts w:ascii="Times New Roman" w:hAnsi="Times New Roman" w:cs="Times New Roman"/>
          <w:sz w:val="24"/>
          <w:szCs w:val="24"/>
        </w:rPr>
        <w:t xml:space="preserve"> uključuje prihode čije su korištenje i namjena utvrđeni posebnim zakonima i propisima. Ovaj izvor financiranja čine slijedeće vrste prihoda: </w:t>
      </w:r>
      <w:r>
        <w:rPr>
          <w:rFonts w:ascii="Times New Roman" w:hAnsi="Times New Roman" w:cs="Times New Roman"/>
          <w:sz w:val="24"/>
          <w:szCs w:val="24"/>
        </w:rPr>
        <w:t>prihodi od spomeničke rente, ostali prihodi za posebne namjene (ostali prihodi za posebne namjene PK, komunalna naknada, komunalni doprinos, sufinanciranje potroška vode s hidranata, grobna naknada, naknada za legalizaciju). Ukupno planirani prihodi za posebne namjene za 202</w:t>
      </w:r>
      <w:r w:rsidR="00D836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0CE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odinu iznose </w:t>
      </w:r>
      <w:r w:rsidR="003A0B07">
        <w:rPr>
          <w:rFonts w:ascii="Times New Roman" w:hAnsi="Times New Roman" w:cs="Times New Roman"/>
          <w:sz w:val="24"/>
          <w:szCs w:val="24"/>
        </w:rPr>
        <w:t>2.586.000,00 kuna.</w:t>
      </w:r>
      <w:r w:rsidRPr="009F490F">
        <w:rPr>
          <w:rFonts w:ascii="Times New Roman" w:hAnsi="Times New Roman"/>
          <w:sz w:val="24"/>
          <w:szCs w:val="24"/>
        </w:rPr>
        <w:t xml:space="preserve"> </w:t>
      </w:r>
    </w:p>
    <w:p w:rsidR="009F490F" w:rsidRDefault="00036D59" w:rsidP="00036D59">
      <w:pPr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036D59">
        <w:rPr>
          <w:rFonts w:ascii="Times New Roman" w:hAnsi="Times New Roman" w:cs="Times New Roman"/>
          <w:b/>
          <w:sz w:val="24"/>
          <w:szCs w:val="24"/>
        </w:rPr>
        <w:t>pomoći i donacije</w:t>
      </w:r>
      <w:r>
        <w:rPr>
          <w:rFonts w:ascii="Times New Roman" w:hAnsi="Times New Roman" w:cs="Times New Roman"/>
          <w:sz w:val="24"/>
          <w:szCs w:val="24"/>
        </w:rPr>
        <w:t xml:space="preserve"> čine prihodi</w:t>
      </w:r>
      <w:r w:rsidR="009F490F">
        <w:rPr>
          <w:rFonts w:ascii="Times New Roman" w:hAnsi="Times New Roman" w:cs="Times New Roman"/>
          <w:sz w:val="24"/>
          <w:szCs w:val="24"/>
        </w:rPr>
        <w:t>: ostale pomoći i darovnice iz nenadležnog proračuna PK, ostale pomoći i darovnice iz županijskog proračuna, kapitalne pomoći iz državnog proračuna, kapitalne pomoći iz županijskog proračuna, kapitalne pomoći od ostalih izvanproračunskih korisnika. Ukupno planirana sredstva od pomoći za 202</w:t>
      </w:r>
      <w:r w:rsidR="003A0B07">
        <w:rPr>
          <w:rFonts w:ascii="Times New Roman" w:hAnsi="Times New Roman" w:cs="Times New Roman"/>
          <w:sz w:val="24"/>
          <w:szCs w:val="24"/>
        </w:rPr>
        <w:t>1</w:t>
      </w:r>
      <w:r w:rsidR="009F490F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3A0B07">
        <w:rPr>
          <w:rFonts w:ascii="Times New Roman" w:hAnsi="Times New Roman" w:cs="Times New Roman"/>
          <w:sz w:val="24"/>
          <w:szCs w:val="24"/>
        </w:rPr>
        <w:t>346.000,00 kuna.</w:t>
      </w:r>
    </w:p>
    <w:p w:rsidR="00A8519D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036D59">
        <w:rPr>
          <w:rFonts w:ascii="Times New Roman" w:hAnsi="Times New Roman" w:cs="Times New Roman"/>
          <w:b/>
          <w:sz w:val="24"/>
          <w:szCs w:val="24"/>
        </w:rPr>
        <w:t xml:space="preserve">prihodi od prodaje nefinancijske </w:t>
      </w:r>
      <w:r w:rsidR="00036D59" w:rsidRPr="00036D59">
        <w:rPr>
          <w:rFonts w:ascii="Times New Roman" w:hAnsi="Times New Roman" w:cs="Times New Roman"/>
          <w:b/>
          <w:sz w:val="24"/>
          <w:szCs w:val="24"/>
        </w:rPr>
        <w:t xml:space="preserve">imovine </w:t>
      </w:r>
      <w:r w:rsidRPr="00A8519D">
        <w:rPr>
          <w:rFonts w:ascii="Times New Roman" w:hAnsi="Times New Roman" w:cs="Times New Roman"/>
          <w:sz w:val="24"/>
          <w:szCs w:val="24"/>
        </w:rPr>
        <w:t>čine sredstva od prodaje i zamjene nefinancijske dugotrajne imovine</w:t>
      </w:r>
      <w:r w:rsidR="00036D59">
        <w:rPr>
          <w:rFonts w:ascii="Times New Roman" w:hAnsi="Times New Roman" w:cs="Times New Roman"/>
          <w:sz w:val="24"/>
          <w:szCs w:val="24"/>
        </w:rPr>
        <w:t xml:space="preserve">. </w:t>
      </w:r>
      <w:r w:rsidRPr="00A8519D">
        <w:rPr>
          <w:rFonts w:ascii="Times New Roman" w:hAnsi="Times New Roman" w:cs="Times New Roman"/>
          <w:sz w:val="24"/>
          <w:szCs w:val="24"/>
        </w:rPr>
        <w:t xml:space="preserve">Ovaj izvor financiranja čine prihodi od prodaje zemljišta i </w:t>
      </w:r>
      <w:r w:rsidR="009F490F">
        <w:rPr>
          <w:rFonts w:ascii="Times New Roman" w:hAnsi="Times New Roman" w:cs="Times New Roman"/>
          <w:sz w:val="24"/>
          <w:szCs w:val="24"/>
        </w:rPr>
        <w:t xml:space="preserve">od prodaje grobnica te ostalih nespomenutih građevinskih objekata. </w:t>
      </w:r>
      <w:r w:rsidRPr="00A8519D">
        <w:rPr>
          <w:rFonts w:ascii="Times New Roman" w:hAnsi="Times New Roman" w:cs="Times New Roman"/>
          <w:sz w:val="24"/>
          <w:szCs w:val="24"/>
        </w:rPr>
        <w:t>Sukladno Zakonu o proračunu, sredstva od prodaje i zamjene nefinancijske imovine i refundacije šteta mogu se kori</w:t>
      </w:r>
      <w:r w:rsidR="00036D59">
        <w:rPr>
          <w:rFonts w:ascii="Times New Roman" w:hAnsi="Times New Roman" w:cs="Times New Roman"/>
          <w:sz w:val="24"/>
          <w:szCs w:val="24"/>
        </w:rPr>
        <w:t>stiti samo za kapitalne rashode</w:t>
      </w:r>
      <w:r w:rsidRPr="00A8519D">
        <w:rPr>
          <w:rFonts w:ascii="Times New Roman" w:hAnsi="Times New Roman" w:cs="Times New Roman"/>
          <w:sz w:val="24"/>
          <w:szCs w:val="24"/>
        </w:rPr>
        <w:t>.</w:t>
      </w:r>
      <w:r w:rsidR="00D8103B">
        <w:rPr>
          <w:rFonts w:ascii="Times New Roman" w:hAnsi="Times New Roman" w:cs="Times New Roman"/>
          <w:sz w:val="24"/>
          <w:szCs w:val="24"/>
        </w:rPr>
        <w:t xml:space="preserve"> Ukupno iznose</w:t>
      </w:r>
      <w:r w:rsidR="00036D59">
        <w:rPr>
          <w:rFonts w:ascii="Times New Roman" w:hAnsi="Times New Roman" w:cs="Times New Roman"/>
          <w:sz w:val="24"/>
          <w:szCs w:val="24"/>
        </w:rPr>
        <w:t xml:space="preserve"> </w:t>
      </w:r>
      <w:r w:rsidR="003A0B07">
        <w:rPr>
          <w:rFonts w:ascii="Times New Roman" w:hAnsi="Times New Roman" w:cs="Times New Roman"/>
          <w:sz w:val="24"/>
          <w:szCs w:val="24"/>
        </w:rPr>
        <w:t>6.1253.000,00 kuna.</w:t>
      </w:r>
    </w:p>
    <w:p w:rsidR="003A0B07" w:rsidRDefault="003A0B07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3A0B07">
        <w:rPr>
          <w:rFonts w:ascii="Times New Roman" w:hAnsi="Times New Roman" w:cs="Times New Roman"/>
          <w:b/>
          <w:sz w:val="24"/>
          <w:szCs w:val="24"/>
        </w:rPr>
        <w:t>Izvor financiranja višak iz prethodnih godina</w:t>
      </w:r>
      <w:r>
        <w:rPr>
          <w:rFonts w:ascii="Times New Roman" w:hAnsi="Times New Roman" w:cs="Times New Roman"/>
          <w:sz w:val="24"/>
          <w:szCs w:val="24"/>
        </w:rPr>
        <w:t xml:space="preserve"> iznosi 2.000,00 kuna a odnosi se na procjenu viška prihoda proračunskog korisnika Dječjeg vrtića Cvrčak.</w:t>
      </w:r>
    </w:p>
    <w:p w:rsidR="009F490F" w:rsidRDefault="009F490F" w:rsidP="00A8519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25"/>
        <w:gridCol w:w="2085"/>
        <w:gridCol w:w="2087"/>
        <w:gridCol w:w="1931"/>
      </w:tblGrid>
      <w:tr w:rsidR="00BF460D" w:rsidRPr="00BF460D" w:rsidTr="00C97CA6">
        <w:trPr>
          <w:trHeight w:val="740"/>
        </w:trPr>
        <w:tc>
          <w:tcPr>
            <w:tcW w:w="3525" w:type="dxa"/>
            <w:shd w:val="clear" w:color="auto" w:fill="9CC2E5" w:themeFill="accent1" w:themeFillTint="99"/>
          </w:tcPr>
          <w:p w:rsidR="00BF460D" w:rsidRPr="00BF460D" w:rsidRDefault="000C4F71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085" w:type="dxa"/>
            <w:shd w:val="clear" w:color="auto" w:fill="9CC2E5" w:themeFill="accent1" w:themeFillTint="99"/>
          </w:tcPr>
          <w:p w:rsidR="00BF460D" w:rsidRPr="00BF460D" w:rsidRDefault="003A0B07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2021</w:t>
            </w:r>
          </w:p>
        </w:tc>
        <w:tc>
          <w:tcPr>
            <w:tcW w:w="2087" w:type="dxa"/>
            <w:shd w:val="clear" w:color="auto" w:fill="9CC2E5" w:themeFill="accent1" w:themeFillTint="99"/>
          </w:tcPr>
          <w:p w:rsidR="00BF460D" w:rsidRPr="00BF460D" w:rsidRDefault="003A0B07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PROJEKCIJA 2022</w:t>
            </w:r>
          </w:p>
        </w:tc>
        <w:tc>
          <w:tcPr>
            <w:tcW w:w="1931" w:type="dxa"/>
            <w:shd w:val="clear" w:color="auto" w:fill="9CC2E5" w:themeFill="accent1" w:themeFillTint="99"/>
          </w:tcPr>
          <w:p w:rsidR="00BF460D" w:rsidRPr="00BF460D" w:rsidRDefault="003A0B07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PROJEKCIJA 2023</w:t>
            </w:r>
          </w:p>
        </w:tc>
      </w:tr>
      <w:tr w:rsidR="00BF460D" w:rsidTr="00C97CA6">
        <w:tc>
          <w:tcPr>
            <w:tcW w:w="3525" w:type="dxa"/>
            <w:shd w:val="clear" w:color="auto" w:fill="BDD6EE" w:themeFill="accent1" w:themeFillTint="66"/>
          </w:tcPr>
          <w:p w:rsidR="00BF460D" w:rsidRPr="00BF460D" w:rsidRDefault="00BF460D" w:rsidP="00BF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6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60D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BF460D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9.963.392,00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9.414.855,00</w:t>
            </w:r>
          </w:p>
        </w:tc>
        <w:tc>
          <w:tcPr>
            <w:tcW w:w="1931" w:type="dxa"/>
            <w:shd w:val="clear" w:color="auto" w:fill="BDD6EE" w:themeFill="accent1" w:themeFillTint="66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10.445.080,00</w:t>
            </w: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BF460D" w:rsidRPr="00E31545" w:rsidRDefault="00E31545" w:rsidP="00E31545">
            <w:pPr>
              <w:pStyle w:val="Odlomakpopis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F7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BF460D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9.963.392,00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9.414.855,00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10.445.080,00</w:t>
            </w:r>
          </w:p>
        </w:tc>
      </w:tr>
      <w:tr w:rsidR="00BF460D" w:rsidTr="00C97CA6">
        <w:tc>
          <w:tcPr>
            <w:tcW w:w="3525" w:type="dxa"/>
            <w:shd w:val="clear" w:color="auto" w:fill="BDD6EE" w:themeFill="accent1" w:themeFillTint="66"/>
          </w:tcPr>
          <w:p w:rsidR="00BF460D" w:rsidRPr="00E31545" w:rsidRDefault="000C4F71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3.Vlastiti prihodi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E31545" w:rsidRPr="00BF460D" w:rsidRDefault="00C97CA6" w:rsidP="000C4F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356.880,00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5A2863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350.000,00</w:t>
            </w:r>
          </w:p>
        </w:tc>
        <w:tc>
          <w:tcPr>
            <w:tcW w:w="1931" w:type="dxa"/>
            <w:shd w:val="clear" w:color="auto" w:fill="BDD6EE" w:themeFill="accent1" w:themeFillTint="66"/>
          </w:tcPr>
          <w:p w:rsidR="005A2863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185.000,00</w:t>
            </w: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BF460D" w:rsidRPr="00BF460D" w:rsidRDefault="000C4F71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Vlastiti prihodi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BF460D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356.880,00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185.000,00</w:t>
            </w:r>
          </w:p>
        </w:tc>
      </w:tr>
      <w:tr w:rsidR="00BF460D" w:rsidTr="00C97CA6">
        <w:tc>
          <w:tcPr>
            <w:tcW w:w="3525" w:type="dxa"/>
            <w:shd w:val="clear" w:color="auto" w:fill="BDD6EE" w:themeFill="accent1" w:themeFillTint="66"/>
          </w:tcPr>
          <w:p w:rsidR="00BF460D" w:rsidRPr="00BF460D" w:rsidRDefault="000C4F71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Prihodi za posebne namjene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E31545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2.586.000,00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5A2863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2.701.000,00</w:t>
            </w:r>
          </w:p>
        </w:tc>
        <w:tc>
          <w:tcPr>
            <w:tcW w:w="1931" w:type="dxa"/>
            <w:shd w:val="clear" w:color="auto" w:fill="BDD6EE" w:themeFill="accent1" w:themeFillTint="66"/>
          </w:tcPr>
          <w:p w:rsidR="005A2863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2.821.000,00</w:t>
            </w: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BF460D" w:rsidRPr="00BF460D" w:rsidRDefault="000C4F71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Prihodi od spomeničke rente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BF460D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0F332F" w:rsidRPr="00BF460D" w:rsidRDefault="000C4F71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Ostali prihodi za posebne namjene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BF460D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2.585.000,00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2.700.000,00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2.820.000,00</w:t>
            </w: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BF460D" w:rsidRPr="00BF460D" w:rsidRDefault="000C4F71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4.3.1. Ostali prihodi za posebne namjene PK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E31545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5A2863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5A2863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430.000,00</w:t>
            </w: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BF460D" w:rsidRPr="00BF460D" w:rsidRDefault="000C4F71" w:rsidP="000C4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 Komunalna naknada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E31545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1.300.000,00</w:t>
            </w:r>
          </w:p>
          <w:p w:rsidR="00C97CA6" w:rsidRPr="00BF460D" w:rsidRDefault="00C97CA6" w:rsidP="00C9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EEAF6" w:themeFill="accent1" w:themeFillTint="33"/>
          </w:tcPr>
          <w:p w:rsidR="005A2863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1.350.000,00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5A2863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1.400.000,00</w:t>
            </w:r>
          </w:p>
          <w:p w:rsidR="003A08EB" w:rsidRPr="00BF460D" w:rsidRDefault="003A08EB" w:rsidP="003A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BF460D" w:rsidRPr="00BF460D" w:rsidRDefault="000C4F71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 Komunalni doprinos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E31545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  <w:p w:rsidR="00C97CA6" w:rsidRPr="00BF460D" w:rsidRDefault="00C97CA6" w:rsidP="00C9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EEAF6" w:themeFill="accent1" w:themeFillTint="33"/>
          </w:tcPr>
          <w:p w:rsidR="005A2863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700.000,00</w:t>
            </w:r>
          </w:p>
          <w:p w:rsidR="003A08EB" w:rsidRPr="00BF460D" w:rsidRDefault="003A08EB" w:rsidP="003A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DEEAF6" w:themeFill="accent1" w:themeFillTint="33"/>
          </w:tcPr>
          <w:p w:rsidR="005A2863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800.000,00</w:t>
            </w: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BF460D" w:rsidRPr="00BF460D" w:rsidRDefault="000C4F71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 Vodni doprinos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BF460D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BF460D" w:rsidRPr="00BF460D" w:rsidRDefault="000C4F71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4.3.5. Sufinanciranje potroška vode s hidranata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BF460D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  <w:p w:rsidR="003A08EB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BF460D" w:rsidRPr="00BF460D" w:rsidRDefault="000C4F71" w:rsidP="000C4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4.3.7.  Naknada za legalizaciju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E31545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5A2863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:rsidR="003A08EB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DEEAF6" w:themeFill="accent1" w:themeFillTint="33"/>
          </w:tcPr>
          <w:p w:rsidR="005A2863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C97CA6" w:rsidTr="00C97CA6">
        <w:tc>
          <w:tcPr>
            <w:tcW w:w="3525" w:type="dxa"/>
            <w:shd w:val="clear" w:color="auto" w:fill="DEEAF6" w:themeFill="accent1" w:themeFillTint="33"/>
          </w:tcPr>
          <w:p w:rsidR="00C97CA6" w:rsidRDefault="00C97CA6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4.3.8 . Turističjka bristojba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C97CA6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C97CA6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C97CA6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BF460D" w:rsidTr="00C97CA6">
        <w:tc>
          <w:tcPr>
            <w:tcW w:w="3525" w:type="dxa"/>
            <w:shd w:val="clear" w:color="auto" w:fill="BDD6EE" w:themeFill="accent1" w:themeFillTint="66"/>
          </w:tcPr>
          <w:p w:rsidR="00BF460D" w:rsidRPr="00BF460D" w:rsidRDefault="000C4F71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Pomoći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BF460D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566.000,00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972.000,00</w:t>
            </w:r>
          </w:p>
        </w:tc>
        <w:tc>
          <w:tcPr>
            <w:tcW w:w="1931" w:type="dxa"/>
            <w:shd w:val="clear" w:color="auto" w:fill="BDD6EE" w:themeFill="accent1" w:themeFillTint="66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590,000,00</w:t>
            </w:r>
          </w:p>
        </w:tc>
      </w:tr>
      <w:tr w:rsidR="00BF460D" w:rsidTr="00C97CA6">
        <w:tc>
          <w:tcPr>
            <w:tcW w:w="3525" w:type="dxa"/>
            <w:shd w:val="clear" w:color="auto" w:fill="DEEAF6" w:themeFill="accent1" w:themeFillTint="33"/>
          </w:tcPr>
          <w:p w:rsidR="000F332F" w:rsidRPr="00BF460D" w:rsidRDefault="000C4F71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Ostale pomoći i darovnice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BF460D" w:rsidRPr="00BF460D" w:rsidRDefault="00C97CA6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BF460D" w:rsidRPr="00BF460D" w:rsidRDefault="003A08EB" w:rsidP="003A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BF460D" w:rsidRPr="00BF460D" w:rsidRDefault="003A08EB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412.000,00</w:t>
            </w:r>
          </w:p>
        </w:tc>
      </w:tr>
      <w:tr w:rsidR="00C97CA6" w:rsidRPr="000C4F71" w:rsidTr="00C97CA6">
        <w:tc>
          <w:tcPr>
            <w:tcW w:w="3525" w:type="dxa"/>
            <w:shd w:val="clear" w:color="auto" w:fill="DEEAF6" w:themeFill="accent1" w:themeFillTint="33"/>
          </w:tcPr>
          <w:p w:rsidR="00C97CA6" w:rsidRPr="000C4F71" w:rsidRDefault="00C97CA6" w:rsidP="000C4F7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5.2.1. Pomoći iz nenadležnog proračuna PK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C97CA6" w:rsidRPr="000C4F71" w:rsidRDefault="00C97CA6" w:rsidP="000C4F71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C97CA6" w:rsidRPr="000C4F71" w:rsidRDefault="003A08EB" w:rsidP="003A08E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C97CA6" w:rsidRPr="000C4F71" w:rsidRDefault="003A08EB" w:rsidP="00E52203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12.000,00</w:t>
            </w:r>
          </w:p>
        </w:tc>
      </w:tr>
      <w:tr w:rsidR="003C79DF" w:rsidRPr="000C4F71" w:rsidTr="00C97CA6">
        <w:tc>
          <w:tcPr>
            <w:tcW w:w="3525" w:type="dxa"/>
            <w:shd w:val="clear" w:color="auto" w:fill="DEEAF6" w:themeFill="accent1" w:themeFillTint="33"/>
          </w:tcPr>
          <w:p w:rsidR="003C79DF" w:rsidRDefault="003C79DF" w:rsidP="003C79DF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 Ostale pomoći i darovnice-županijski proračun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3C79DF" w:rsidRDefault="003C79DF" w:rsidP="000C4F71">
            <w:pPr>
              <w:pStyle w:val="Bezproreda"/>
              <w:jc w:val="right"/>
              <w:rPr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EEAF6" w:themeFill="accent1" w:themeFillTint="33"/>
          </w:tcPr>
          <w:p w:rsidR="003C79DF" w:rsidRPr="000C4F71" w:rsidRDefault="003C79DF" w:rsidP="000C4F71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3C79DF" w:rsidRPr="000C4F71" w:rsidRDefault="003C79DF" w:rsidP="00E52203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3C79DF" w:rsidRPr="000C4F71" w:rsidTr="00C97CA6">
        <w:tc>
          <w:tcPr>
            <w:tcW w:w="3525" w:type="dxa"/>
            <w:shd w:val="clear" w:color="auto" w:fill="DEEAF6" w:themeFill="accent1" w:themeFillTint="33"/>
          </w:tcPr>
          <w:p w:rsidR="003C79DF" w:rsidRDefault="003C79DF" w:rsidP="003C79DF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 Kapitalne pomoći iz državnog proračuna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3C79DF" w:rsidRDefault="003C79DF" w:rsidP="000C4F71">
            <w:pPr>
              <w:pStyle w:val="Bezproreda"/>
              <w:jc w:val="right"/>
              <w:rPr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EEAF6" w:themeFill="accent1" w:themeFillTint="33"/>
          </w:tcPr>
          <w:p w:rsidR="003C79DF" w:rsidRPr="000C4F71" w:rsidRDefault="003C79DF" w:rsidP="000C4F71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3C79DF" w:rsidRPr="000C4F71" w:rsidRDefault="003C79DF" w:rsidP="00E52203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168.000,00</w:t>
            </w:r>
          </w:p>
        </w:tc>
      </w:tr>
      <w:tr w:rsidR="003C79DF" w:rsidRPr="000C4F71" w:rsidTr="00C97CA6">
        <w:tc>
          <w:tcPr>
            <w:tcW w:w="3525" w:type="dxa"/>
            <w:shd w:val="clear" w:color="auto" w:fill="DEEAF6" w:themeFill="accent1" w:themeFillTint="33"/>
          </w:tcPr>
          <w:p w:rsidR="003C79DF" w:rsidRDefault="003C79DF" w:rsidP="003C79DF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 Kapitalne pomoći od izvanproračunskih korisnika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3C79DF" w:rsidRDefault="003C79DF" w:rsidP="000C4F71">
            <w:pPr>
              <w:pStyle w:val="Bezproreda"/>
              <w:jc w:val="right"/>
              <w:rPr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EEAF6" w:themeFill="accent1" w:themeFillTint="33"/>
          </w:tcPr>
          <w:p w:rsidR="003C79DF" w:rsidRPr="000C4F71" w:rsidRDefault="003C79DF" w:rsidP="000C4F71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3C79DF" w:rsidRPr="000C4F71" w:rsidRDefault="003C79DF" w:rsidP="00E52203">
            <w:pPr>
              <w:pStyle w:val="Bezproreda"/>
              <w:jc w:val="right"/>
              <w:rPr>
                <w:sz w:val="24"/>
                <w:szCs w:val="24"/>
              </w:rPr>
            </w:pPr>
          </w:p>
        </w:tc>
      </w:tr>
      <w:tr w:rsidR="000C4F71" w:rsidRPr="000C4F71" w:rsidTr="00C97CA6">
        <w:tc>
          <w:tcPr>
            <w:tcW w:w="3525" w:type="dxa"/>
            <w:shd w:val="clear" w:color="auto" w:fill="DEEAF6" w:themeFill="accent1" w:themeFillTint="33"/>
          </w:tcPr>
          <w:p w:rsidR="000C4F71" w:rsidRPr="000C4F71" w:rsidRDefault="00C97CA6" w:rsidP="00C97CA6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 Kapitalna pomoć od neprofitnih organizacija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0C4F71" w:rsidRPr="000C4F71" w:rsidRDefault="00C97CA6" w:rsidP="000C4F71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0C4F71" w:rsidRPr="000C4F71" w:rsidRDefault="000C4F71" w:rsidP="000C4F71">
            <w:pPr>
              <w:pStyle w:val="Bezproreda"/>
              <w:jc w:val="right"/>
              <w:rPr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DEEAF6" w:themeFill="accent1" w:themeFillTint="33"/>
          </w:tcPr>
          <w:p w:rsidR="000C4F71" w:rsidRPr="000C4F71" w:rsidRDefault="000C4F71" w:rsidP="00E52203">
            <w:pPr>
              <w:pStyle w:val="Bezproreda"/>
              <w:jc w:val="right"/>
              <w:rPr>
                <w:sz w:val="24"/>
                <w:szCs w:val="24"/>
              </w:rPr>
            </w:pPr>
          </w:p>
        </w:tc>
      </w:tr>
      <w:tr w:rsidR="000C4F71" w:rsidRPr="000C4F71" w:rsidTr="00C97CA6">
        <w:tc>
          <w:tcPr>
            <w:tcW w:w="3525" w:type="dxa"/>
            <w:shd w:val="clear" w:color="auto" w:fill="BDD6EE" w:themeFill="accent1" w:themeFillTint="66"/>
          </w:tcPr>
          <w:p w:rsidR="000C4F71" w:rsidRPr="000C4F71" w:rsidRDefault="000C4F71" w:rsidP="000C4F7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sz w:val="24"/>
                <w:szCs w:val="24"/>
              </w:rPr>
              <w:t>7. Prihodi od prodaje ili zamjene nefinancijske imovine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0C4F71" w:rsidRPr="000C4F71" w:rsidRDefault="00C97CA6" w:rsidP="000C4F7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6.153.000,00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0C4F71" w:rsidRPr="000C4F71" w:rsidRDefault="003C79DF" w:rsidP="000C4F7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5.501.899,00</w:t>
            </w:r>
          </w:p>
        </w:tc>
        <w:tc>
          <w:tcPr>
            <w:tcW w:w="1931" w:type="dxa"/>
            <w:shd w:val="clear" w:color="auto" w:fill="BDD6EE" w:themeFill="accent1" w:themeFillTint="66"/>
          </w:tcPr>
          <w:p w:rsidR="000C4F71" w:rsidRPr="000C4F71" w:rsidRDefault="003C79DF" w:rsidP="00E5220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3.735.000,00</w:t>
            </w:r>
          </w:p>
        </w:tc>
      </w:tr>
      <w:tr w:rsidR="000C4F71" w:rsidRPr="000C4F71" w:rsidTr="00C97CA6">
        <w:tc>
          <w:tcPr>
            <w:tcW w:w="3525" w:type="dxa"/>
            <w:shd w:val="clear" w:color="auto" w:fill="DEEAF6" w:themeFill="accent1" w:themeFillTint="33"/>
          </w:tcPr>
          <w:p w:rsidR="000C4F71" w:rsidRPr="000C4F71" w:rsidRDefault="000C4F71" w:rsidP="000C4F7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sz w:val="24"/>
                <w:szCs w:val="24"/>
              </w:rPr>
              <w:t>7.1. Prihodi od prodaje ili zamjene nefinancijske imovine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0C4F71" w:rsidRPr="000C4F71" w:rsidRDefault="00C97CA6" w:rsidP="000C4F7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6.153.000,00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0C4F71" w:rsidRPr="000C4F71" w:rsidRDefault="003C79DF" w:rsidP="000C4F7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5.501.899,00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0C4F71" w:rsidRPr="000C4F71" w:rsidRDefault="003C79DF" w:rsidP="00E5220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3.735.000,00</w:t>
            </w:r>
          </w:p>
        </w:tc>
      </w:tr>
      <w:tr w:rsidR="00C97CA6" w:rsidRPr="000C4F71" w:rsidTr="003A08EB">
        <w:tc>
          <w:tcPr>
            <w:tcW w:w="3525" w:type="dxa"/>
            <w:shd w:val="clear" w:color="auto" w:fill="BDD6EE" w:themeFill="accent1" w:themeFillTint="66"/>
          </w:tcPr>
          <w:p w:rsidR="00C97CA6" w:rsidRPr="00C97CA6" w:rsidRDefault="00C97CA6" w:rsidP="000C4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A6">
              <w:rPr>
                <w:rFonts w:ascii="Times New Roman" w:hAnsi="Times New Roman" w:cs="Times New Roman"/>
                <w:sz w:val="24"/>
                <w:szCs w:val="24"/>
              </w:rPr>
              <w:t>9. Višak prihoda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C97CA6" w:rsidRPr="00C97CA6" w:rsidRDefault="00C97CA6" w:rsidP="007B37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C97CA6" w:rsidRPr="00C97CA6" w:rsidRDefault="003C79DF" w:rsidP="000C4F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931" w:type="dxa"/>
            <w:shd w:val="clear" w:color="auto" w:fill="BDD6EE" w:themeFill="accent1" w:themeFillTint="66"/>
          </w:tcPr>
          <w:p w:rsidR="00C97CA6" w:rsidRPr="00C97CA6" w:rsidRDefault="003C79DF" w:rsidP="000C4F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C97CA6" w:rsidRPr="000C4F71" w:rsidTr="00C97CA6">
        <w:tc>
          <w:tcPr>
            <w:tcW w:w="3525" w:type="dxa"/>
            <w:shd w:val="clear" w:color="auto" w:fill="DEEAF6" w:themeFill="accent1" w:themeFillTint="33"/>
          </w:tcPr>
          <w:p w:rsidR="00C97CA6" w:rsidRPr="00C97CA6" w:rsidRDefault="00C97CA6" w:rsidP="000C4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Višak prihoda iz prethodne godine PK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C97CA6" w:rsidRPr="00C97CA6" w:rsidRDefault="00C97CA6" w:rsidP="007B37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C97CA6" w:rsidRPr="00C97CA6" w:rsidRDefault="003C79DF" w:rsidP="000C4F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C97CA6" w:rsidRPr="00C97CA6" w:rsidRDefault="003C79DF" w:rsidP="000C4F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0C4F71" w:rsidRPr="000C4F71" w:rsidTr="00C97CA6">
        <w:tc>
          <w:tcPr>
            <w:tcW w:w="3525" w:type="dxa"/>
            <w:shd w:val="clear" w:color="auto" w:fill="DEEAF6" w:themeFill="accent1" w:themeFillTint="33"/>
          </w:tcPr>
          <w:p w:rsidR="000C4F71" w:rsidRPr="000C4F71" w:rsidRDefault="000C4F71" w:rsidP="000C4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0C4F71" w:rsidRPr="000C4F71" w:rsidRDefault="00C97CA6" w:rsidP="007B37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19.627.272,00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0C4F71" w:rsidRPr="000C4F71" w:rsidRDefault="003C79DF" w:rsidP="000C4F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18.941.754,00</w:t>
            </w:r>
          </w:p>
        </w:tc>
        <w:tc>
          <w:tcPr>
            <w:tcW w:w="1931" w:type="dxa"/>
            <w:shd w:val="clear" w:color="auto" w:fill="DEEAF6" w:themeFill="accent1" w:themeFillTint="33"/>
          </w:tcPr>
          <w:p w:rsidR="000C4F71" w:rsidRPr="000C4F71" w:rsidRDefault="003C79DF" w:rsidP="000C4F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17.778.080,00</w:t>
            </w:r>
          </w:p>
        </w:tc>
      </w:tr>
    </w:tbl>
    <w:p w:rsidR="000C4F71" w:rsidRDefault="000C4F71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0C4F71" w:rsidRDefault="000C4F71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2F75B0" w:rsidRPr="002F75B0" w:rsidRDefault="002F75B0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2F75B0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2.2.3. </w:t>
      </w:r>
      <w:r w:rsidR="000276DD" w:rsidRPr="00CE4F68">
        <w:rPr>
          <w:rFonts w:ascii="Times New Roman" w:hAnsi="Times New Roman" w:cs="Times New Roman"/>
          <w:b/>
          <w:sz w:val="28"/>
          <w:szCs w:val="28"/>
        </w:rPr>
        <w:t>RASHDI</w:t>
      </w:r>
      <w:r w:rsidR="000276DD">
        <w:rPr>
          <w:rFonts w:ascii="Bahnschrift SemiBold SemiConden" w:hAnsi="Bahnschrift SemiBold SemiConden" w:cs="Times New Roman"/>
          <w:b/>
          <w:sz w:val="28"/>
          <w:szCs w:val="28"/>
        </w:rPr>
        <w:t xml:space="preserve"> PO FUNKCIJSKOJ KLASIFIKACIJI</w:t>
      </w:r>
    </w:p>
    <w:p w:rsidR="002F75B0" w:rsidRDefault="002F75B0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2F75B0">
        <w:rPr>
          <w:rFonts w:ascii="Times New Roman" w:hAnsi="Times New Roman" w:cs="Times New Roman"/>
          <w:sz w:val="24"/>
          <w:szCs w:val="24"/>
        </w:rPr>
        <w:t>Funkcijska klasifikacija pokazuje aktivnosti jedinice lokalne i područne (regionalne) samouprave organizirane i razvrstane prema ulaganjima sredstava u djelatnost: opće javne usluge,</w:t>
      </w:r>
      <w:r>
        <w:rPr>
          <w:rFonts w:ascii="Times New Roman" w:hAnsi="Times New Roman" w:cs="Times New Roman"/>
          <w:sz w:val="24"/>
          <w:szCs w:val="24"/>
        </w:rPr>
        <w:t xml:space="preserve"> obranu,</w:t>
      </w:r>
      <w:r w:rsidRPr="002F75B0">
        <w:rPr>
          <w:rFonts w:ascii="Times New Roman" w:hAnsi="Times New Roman" w:cs="Times New Roman"/>
          <w:sz w:val="24"/>
          <w:szCs w:val="24"/>
        </w:rPr>
        <w:t xml:space="preserve"> javni red i sigurnost, ekonomske poslove, zaštitu okoliša, unapređenje stanovanja </w:t>
      </w:r>
      <w:r>
        <w:rPr>
          <w:rFonts w:ascii="Times New Roman" w:hAnsi="Times New Roman" w:cs="Times New Roman"/>
          <w:sz w:val="24"/>
          <w:szCs w:val="24"/>
        </w:rPr>
        <w:t>zajednice</w:t>
      </w:r>
      <w:r w:rsidRPr="002F75B0">
        <w:rPr>
          <w:rFonts w:ascii="Times New Roman" w:hAnsi="Times New Roman" w:cs="Times New Roman"/>
          <w:sz w:val="24"/>
          <w:szCs w:val="24"/>
        </w:rPr>
        <w:t>, zdravstvo, rekreaciju</w:t>
      </w:r>
      <w:r>
        <w:rPr>
          <w:rFonts w:ascii="Times New Roman" w:hAnsi="Times New Roman" w:cs="Times New Roman"/>
          <w:sz w:val="24"/>
          <w:szCs w:val="24"/>
        </w:rPr>
        <w:t xml:space="preserve">, kulturi i religiju, </w:t>
      </w:r>
      <w:r w:rsidRPr="002F75B0">
        <w:rPr>
          <w:rFonts w:ascii="Times New Roman" w:hAnsi="Times New Roman" w:cs="Times New Roman"/>
          <w:sz w:val="24"/>
          <w:szCs w:val="24"/>
        </w:rPr>
        <w:t>obrazovanje i socijalnu zaštitu.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7"/>
        <w:gridCol w:w="2939"/>
        <w:gridCol w:w="1930"/>
        <w:gridCol w:w="1931"/>
        <w:gridCol w:w="1931"/>
      </w:tblGrid>
      <w:tr w:rsidR="002F75B0" w:rsidTr="00E52203">
        <w:tc>
          <w:tcPr>
            <w:tcW w:w="817" w:type="dxa"/>
            <w:shd w:val="clear" w:color="auto" w:fill="9CC2E5" w:themeFill="accent1" w:themeFillTint="99"/>
          </w:tcPr>
          <w:p w:rsidR="002F75B0" w:rsidRDefault="00E5220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</w:p>
        </w:tc>
        <w:tc>
          <w:tcPr>
            <w:tcW w:w="3124" w:type="dxa"/>
            <w:shd w:val="clear" w:color="auto" w:fill="9CC2E5" w:themeFill="accent1" w:themeFillTint="99"/>
          </w:tcPr>
          <w:p w:rsidR="002F75B0" w:rsidRDefault="00E5220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FUNKCIJE</w:t>
            </w:r>
          </w:p>
        </w:tc>
        <w:tc>
          <w:tcPr>
            <w:tcW w:w="1971" w:type="dxa"/>
            <w:shd w:val="clear" w:color="auto" w:fill="9CC2E5" w:themeFill="accent1" w:themeFillTint="99"/>
          </w:tcPr>
          <w:p w:rsidR="002F75B0" w:rsidRDefault="00CE4F68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2021</w:t>
            </w:r>
          </w:p>
        </w:tc>
        <w:tc>
          <w:tcPr>
            <w:tcW w:w="1971" w:type="dxa"/>
            <w:shd w:val="clear" w:color="auto" w:fill="9CC2E5" w:themeFill="accent1" w:themeFillTint="99"/>
          </w:tcPr>
          <w:p w:rsidR="002F75B0" w:rsidRDefault="00CE4F68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PROJEKCIJA 2022</w:t>
            </w:r>
          </w:p>
        </w:tc>
        <w:tc>
          <w:tcPr>
            <w:tcW w:w="1971" w:type="dxa"/>
            <w:shd w:val="clear" w:color="auto" w:fill="9CC2E5" w:themeFill="accent1" w:themeFillTint="99"/>
          </w:tcPr>
          <w:p w:rsidR="002F75B0" w:rsidRDefault="00CE4F68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PROJEKCIJA 2023</w:t>
            </w:r>
          </w:p>
        </w:tc>
      </w:tr>
      <w:tr w:rsidR="002F75B0" w:rsidTr="00E52203">
        <w:tc>
          <w:tcPr>
            <w:tcW w:w="817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Opće javne usluge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3.147.742,00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2.872.205,00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2.773.130,00</w:t>
            </w:r>
          </w:p>
        </w:tc>
      </w:tr>
      <w:tr w:rsidR="002F75B0" w:rsidTr="00E52203">
        <w:tc>
          <w:tcPr>
            <w:tcW w:w="817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Obrana 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2F75B0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2F75B0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2F75B0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5B0" w:rsidTr="00E52203">
        <w:tc>
          <w:tcPr>
            <w:tcW w:w="817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Javni red i sigurnost 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283.000,00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283.000,00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283.000,00</w:t>
            </w:r>
          </w:p>
          <w:p w:rsidR="00C24B72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5B0" w:rsidTr="00E52203">
        <w:tc>
          <w:tcPr>
            <w:tcW w:w="817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Ekonomski poslovi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361.450,00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381.450,00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361.450,00</w:t>
            </w:r>
          </w:p>
        </w:tc>
      </w:tr>
      <w:tr w:rsidR="002F75B0" w:rsidTr="00E52203">
        <w:tc>
          <w:tcPr>
            <w:tcW w:w="817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Zaštita okoliša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488.100,00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563.100,00</w:t>
            </w:r>
          </w:p>
          <w:p w:rsidR="00C24B72" w:rsidRDefault="00C24B72" w:rsidP="00C2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EEAF6" w:themeFill="accent1" w:themeFillTint="33"/>
          </w:tcPr>
          <w:p w:rsidR="005B4573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438.100,00</w:t>
            </w:r>
          </w:p>
        </w:tc>
      </w:tr>
      <w:tr w:rsidR="002F75B0" w:rsidTr="00E52203">
        <w:tc>
          <w:tcPr>
            <w:tcW w:w="817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:rsidR="002F75B0" w:rsidRDefault="002F75B0" w:rsidP="002F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Usluge naprjeđenja stanovanja i zajednice 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3B22C3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11.103.780,00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5B4573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10.683.799,00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5B4573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9.596.400,00</w:t>
            </w:r>
          </w:p>
        </w:tc>
      </w:tr>
      <w:tr w:rsidR="002F75B0" w:rsidTr="00E52203">
        <w:tc>
          <w:tcPr>
            <w:tcW w:w="817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Zdravstvo 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2F75B0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2F75B0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2F75B0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5B0" w:rsidTr="00E52203">
        <w:tc>
          <w:tcPr>
            <w:tcW w:w="817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Rekreacija, kultura i religija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1.356.000,00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1.236.000,00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1.361.000,00</w:t>
            </w:r>
          </w:p>
        </w:tc>
      </w:tr>
      <w:tr w:rsidR="002F75B0" w:rsidTr="00E52203">
        <w:tc>
          <w:tcPr>
            <w:tcW w:w="817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:rsidR="002F75B0" w:rsidRDefault="00A9630F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Obrazovanje 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2.562.000,00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2.602.000,00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2.632.000,00</w:t>
            </w:r>
          </w:p>
        </w:tc>
      </w:tr>
      <w:tr w:rsidR="002F75B0" w:rsidTr="00E52203">
        <w:tc>
          <w:tcPr>
            <w:tcW w:w="817" w:type="dxa"/>
            <w:shd w:val="clear" w:color="auto" w:fill="DEEAF6" w:themeFill="accent1" w:themeFillTint="33"/>
          </w:tcPr>
          <w:p w:rsidR="002F75B0" w:rsidRDefault="002F75B0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:rsidR="002F75B0" w:rsidRDefault="00A9630F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Socijalna zaštita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AA66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A6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246.200,00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2F75B0" w:rsidRDefault="00C24B72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253.000,00</w:t>
            </w:r>
          </w:p>
        </w:tc>
      </w:tr>
      <w:tr w:rsidR="003B22C3" w:rsidRPr="00E52203" w:rsidTr="00E52203">
        <w:tc>
          <w:tcPr>
            <w:tcW w:w="3941" w:type="dxa"/>
            <w:gridSpan w:val="2"/>
            <w:shd w:val="clear" w:color="auto" w:fill="DEEAF6" w:themeFill="accent1" w:themeFillTint="33"/>
          </w:tcPr>
          <w:p w:rsidR="003B22C3" w:rsidRPr="00E52203" w:rsidRDefault="00E52203" w:rsidP="0050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203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3B22C3" w:rsidRPr="00E52203" w:rsidRDefault="00C24B72" w:rsidP="00AA66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19.55</w:t>
            </w:r>
            <w:r w:rsidR="00AA66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.272,00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3B22C3" w:rsidRPr="00E52203" w:rsidRDefault="00AA662F" w:rsidP="00AA66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18.867.754,00</w:t>
            </w:r>
          </w:p>
        </w:tc>
        <w:tc>
          <w:tcPr>
            <w:tcW w:w="1971" w:type="dxa"/>
            <w:shd w:val="clear" w:color="auto" w:fill="DEEAF6" w:themeFill="accent1" w:themeFillTint="33"/>
          </w:tcPr>
          <w:p w:rsidR="003B22C3" w:rsidRPr="00E52203" w:rsidRDefault="00AA662F" w:rsidP="00E522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17.698.080,00</w:t>
            </w:r>
          </w:p>
        </w:tc>
      </w:tr>
    </w:tbl>
    <w:p w:rsidR="002F75B0" w:rsidRDefault="002F75B0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Pr="00E52203" w:rsidRDefault="00E52203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E52203">
        <w:rPr>
          <w:rFonts w:ascii="Times New Roman" w:hAnsi="Times New Roman" w:cs="Times New Roman"/>
          <w:sz w:val="24"/>
          <w:szCs w:val="24"/>
        </w:rPr>
        <w:t xml:space="preserve">Iz tabelarnog prikaza rashoda po izvorima financiranja vidljivo je neslaganje s ukupnim rashodima po ekonomskoj klasifikaciji. Razlog su izdaci za otplatu primljenih zajmova koji se ne klasificiraju po funkcijskoj klasifikaciji i radi </w:t>
      </w:r>
      <w:r>
        <w:rPr>
          <w:rFonts w:ascii="Times New Roman" w:hAnsi="Times New Roman" w:cs="Times New Roman"/>
          <w:sz w:val="24"/>
          <w:szCs w:val="24"/>
        </w:rPr>
        <w:t>prenesenog manjka iz prethodnih godina.</w:t>
      </w:r>
    </w:p>
    <w:p w:rsidR="000B55C8" w:rsidRDefault="000B55C8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2F75B0" w:rsidRPr="00D8103B" w:rsidRDefault="000276DD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D8103B">
        <w:rPr>
          <w:rFonts w:ascii="Bahnschrift SemiBold SemiConden" w:hAnsi="Bahnschrift SemiBold SemiConden" w:cs="Times New Roman"/>
          <w:b/>
          <w:sz w:val="28"/>
          <w:szCs w:val="28"/>
        </w:rPr>
        <w:t>2.2.4. RASHODI PO ORGANIZACIJSKOJ KLASIFIKACIJI</w:t>
      </w:r>
    </w:p>
    <w:p w:rsidR="000276DD" w:rsidRDefault="000276DD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0276DD">
        <w:rPr>
          <w:rFonts w:ascii="Times New Roman" w:hAnsi="Times New Roman" w:cs="Times New Roman"/>
          <w:sz w:val="24"/>
          <w:szCs w:val="24"/>
        </w:rPr>
        <w:t>Organizacijska struktura prikazuje raspored sredstava planiranih u Proračunu po upr</w:t>
      </w:r>
      <w:r w:rsidR="007B372A">
        <w:rPr>
          <w:rFonts w:ascii="Times New Roman" w:hAnsi="Times New Roman" w:cs="Times New Roman"/>
          <w:sz w:val="24"/>
          <w:szCs w:val="24"/>
        </w:rPr>
        <w:t>avnim tijelima Općine Posedarje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7"/>
        <w:gridCol w:w="1954"/>
        <w:gridCol w:w="1955"/>
        <w:gridCol w:w="1922"/>
      </w:tblGrid>
      <w:tr w:rsidR="0035377F" w:rsidTr="007B372A">
        <w:tc>
          <w:tcPr>
            <w:tcW w:w="3936" w:type="dxa"/>
            <w:shd w:val="clear" w:color="auto" w:fill="9CC2E5" w:themeFill="accent1" w:themeFillTint="99"/>
          </w:tcPr>
          <w:p w:rsidR="0035377F" w:rsidRDefault="007B372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RAZDJEL/GLAVA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35377F" w:rsidRDefault="00AA662F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2021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:rsidR="0035377F" w:rsidRDefault="00AA662F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PROJEKCIJA 2022</w:t>
            </w:r>
          </w:p>
        </w:tc>
        <w:tc>
          <w:tcPr>
            <w:tcW w:w="1949" w:type="dxa"/>
            <w:shd w:val="clear" w:color="auto" w:fill="9CC2E5" w:themeFill="accent1" w:themeFillTint="99"/>
          </w:tcPr>
          <w:p w:rsidR="0035377F" w:rsidRDefault="00AA662F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PROJEKCIJA 2022</w:t>
            </w:r>
          </w:p>
        </w:tc>
      </w:tr>
      <w:tr w:rsidR="0035377F" w:rsidRPr="0035377F" w:rsidTr="007B372A">
        <w:tc>
          <w:tcPr>
            <w:tcW w:w="3936" w:type="dxa"/>
            <w:shd w:val="clear" w:color="auto" w:fill="BDD6EE" w:themeFill="accent1" w:themeFillTint="66"/>
          </w:tcPr>
          <w:p w:rsidR="0035377F" w:rsidRPr="0035377F" w:rsidRDefault="007B372A" w:rsidP="0050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001 Općinsko vijeće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35377F" w:rsidRPr="0035377F" w:rsidRDefault="00AA662F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518.800,00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35377F" w:rsidRPr="0035377F" w:rsidRDefault="00AA662F" w:rsidP="00AA66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220.200,00</w:t>
            </w:r>
          </w:p>
        </w:tc>
        <w:tc>
          <w:tcPr>
            <w:tcW w:w="1949" w:type="dxa"/>
            <w:shd w:val="clear" w:color="auto" w:fill="BDD6EE" w:themeFill="accent1" w:themeFillTint="66"/>
          </w:tcPr>
          <w:p w:rsidR="0035377F" w:rsidRPr="0035377F" w:rsidRDefault="00AA662F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220.200,00</w:t>
            </w:r>
          </w:p>
        </w:tc>
      </w:tr>
      <w:tr w:rsidR="0035377F" w:rsidTr="007B372A">
        <w:tc>
          <w:tcPr>
            <w:tcW w:w="3936" w:type="dxa"/>
            <w:shd w:val="clear" w:color="auto" w:fill="DEEAF6" w:themeFill="accent1" w:themeFillTint="33"/>
          </w:tcPr>
          <w:p w:rsidR="0035377F" w:rsidRDefault="00AA662F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Glava </w:t>
            </w:r>
            <w:r w:rsidR="007B372A">
              <w:rPr>
                <w:rFonts w:ascii="Times New Roman" w:hAnsi="Times New Roman" w:cs="Times New Roman"/>
                <w:sz w:val="24"/>
                <w:szCs w:val="24"/>
              </w:rPr>
              <w:t>00101 Općinsko vijeće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518.800,00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35377F" w:rsidRPr="00857B9A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220.200,00</w:t>
            </w:r>
          </w:p>
        </w:tc>
        <w:tc>
          <w:tcPr>
            <w:tcW w:w="1949" w:type="dxa"/>
            <w:shd w:val="clear" w:color="auto" w:fill="DEEAF6" w:themeFill="accent1" w:themeFillTint="33"/>
          </w:tcPr>
          <w:p w:rsidR="0035377F" w:rsidRPr="00857B9A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220.200,00</w:t>
            </w:r>
          </w:p>
        </w:tc>
      </w:tr>
      <w:tr w:rsidR="0035377F" w:rsidRPr="0035377F" w:rsidTr="00FE7CDE">
        <w:tc>
          <w:tcPr>
            <w:tcW w:w="3936" w:type="dxa"/>
            <w:shd w:val="clear" w:color="auto" w:fill="D9E2F3" w:themeFill="accent5" w:themeFillTint="33"/>
          </w:tcPr>
          <w:p w:rsidR="0035377F" w:rsidRPr="0035377F" w:rsidRDefault="007B372A" w:rsidP="007B37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002 Jedinstveni upravni odjel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5377F" w:rsidRPr="0035377F" w:rsidRDefault="00AA662F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19.108.472,00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:rsidR="0035377F" w:rsidRPr="0035377F" w:rsidRDefault="00AA662F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18.721.554,00</w:t>
            </w:r>
          </w:p>
        </w:tc>
        <w:tc>
          <w:tcPr>
            <w:tcW w:w="1949" w:type="dxa"/>
            <w:shd w:val="clear" w:color="auto" w:fill="D9E2F3" w:themeFill="accent5" w:themeFillTint="33"/>
          </w:tcPr>
          <w:p w:rsidR="0035377F" w:rsidRPr="0035377F" w:rsidRDefault="00AA662F" w:rsidP="007B37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17.557.880,00</w:t>
            </w:r>
          </w:p>
        </w:tc>
      </w:tr>
      <w:tr w:rsidR="0035377F" w:rsidTr="007B372A">
        <w:tc>
          <w:tcPr>
            <w:tcW w:w="3936" w:type="dxa"/>
            <w:shd w:val="clear" w:color="auto" w:fill="DEEAF6" w:themeFill="accent1" w:themeFillTint="33"/>
          </w:tcPr>
          <w:p w:rsidR="0035377F" w:rsidRDefault="007B372A" w:rsidP="007B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00201 Jedinstveni upravni odjel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15.687.572,00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15.208.654,00</w:t>
            </w:r>
          </w:p>
        </w:tc>
        <w:tc>
          <w:tcPr>
            <w:tcW w:w="1949" w:type="dxa"/>
            <w:shd w:val="clear" w:color="auto" w:fill="DEEAF6" w:themeFill="accent1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14.205.980,00</w:t>
            </w:r>
          </w:p>
        </w:tc>
      </w:tr>
      <w:tr w:rsidR="0035377F" w:rsidTr="00AA662F">
        <w:tc>
          <w:tcPr>
            <w:tcW w:w="3936" w:type="dxa"/>
            <w:shd w:val="clear" w:color="auto" w:fill="D9E2F3" w:themeFill="accent5" w:themeFillTint="33"/>
          </w:tcPr>
          <w:p w:rsidR="0035377F" w:rsidRDefault="007B372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00208 Predškolski odgoj i ostalo školstvo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2.074.000,00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2.114.000,00</w:t>
            </w:r>
          </w:p>
        </w:tc>
        <w:tc>
          <w:tcPr>
            <w:tcW w:w="1949" w:type="dxa"/>
            <w:shd w:val="clear" w:color="auto" w:fill="D9E2F3" w:themeFill="accent5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2.144.000,00</w:t>
            </w:r>
          </w:p>
        </w:tc>
      </w:tr>
      <w:tr w:rsidR="0035377F" w:rsidTr="007B372A">
        <w:tc>
          <w:tcPr>
            <w:tcW w:w="3936" w:type="dxa"/>
            <w:shd w:val="clear" w:color="auto" w:fill="DEEAF6" w:themeFill="accent1" w:themeFillTint="33"/>
          </w:tcPr>
          <w:p w:rsidR="0035377F" w:rsidRDefault="007B372A" w:rsidP="0086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 47070 Dječji vrtić Cv</w:t>
            </w:r>
            <w:r w:rsidR="00866D9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čak Posedarje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2.074.000,00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2.114.000,00</w:t>
            </w:r>
          </w:p>
        </w:tc>
        <w:tc>
          <w:tcPr>
            <w:tcW w:w="1949" w:type="dxa"/>
            <w:shd w:val="clear" w:color="auto" w:fill="DEEAF6" w:themeFill="accent1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2.144.000,00</w:t>
            </w:r>
          </w:p>
        </w:tc>
      </w:tr>
      <w:tr w:rsidR="0035377F" w:rsidTr="007B372A">
        <w:tc>
          <w:tcPr>
            <w:tcW w:w="3936" w:type="dxa"/>
            <w:shd w:val="clear" w:color="auto" w:fill="DEEAF6" w:themeFill="accent1" w:themeFillTint="33"/>
          </w:tcPr>
          <w:p w:rsidR="0035377F" w:rsidRDefault="007B372A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00210 Vlastiti komunalni pogon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1.346.900,00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1.398.900,00</w:t>
            </w:r>
          </w:p>
        </w:tc>
        <w:tc>
          <w:tcPr>
            <w:tcW w:w="1949" w:type="dxa"/>
            <w:shd w:val="clear" w:color="auto" w:fill="DEEAF6" w:themeFill="accent1" w:themeFillTint="33"/>
          </w:tcPr>
          <w:p w:rsidR="0035377F" w:rsidRDefault="00AA662F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1.207.900,00</w:t>
            </w:r>
          </w:p>
        </w:tc>
      </w:tr>
      <w:tr w:rsidR="0035377F" w:rsidRPr="007B372A" w:rsidTr="007B372A">
        <w:tc>
          <w:tcPr>
            <w:tcW w:w="3936" w:type="dxa"/>
            <w:shd w:val="clear" w:color="auto" w:fill="DEEAF6" w:themeFill="accent1" w:themeFillTint="33"/>
          </w:tcPr>
          <w:p w:rsidR="0035377F" w:rsidRPr="007B372A" w:rsidRDefault="0035377F" w:rsidP="0050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35377F" w:rsidRPr="007B372A" w:rsidRDefault="00DA4D3C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19.627.272,00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35377F" w:rsidRPr="007B372A" w:rsidRDefault="00DA4D3C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18.941.754,00</w:t>
            </w:r>
          </w:p>
        </w:tc>
        <w:tc>
          <w:tcPr>
            <w:tcW w:w="1949" w:type="dxa"/>
            <w:shd w:val="clear" w:color="auto" w:fill="DEEAF6" w:themeFill="accent1" w:themeFillTint="33"/>
          </w:tcPr>
          <w:p w:rsidR="0035377F" w:rsidRPr="007B372A" w:rsidRDefault="00DA4D3C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17.778.080,00</w:t>
            </w:r>
          </w:p>
        </w:tc>
      </w:tr>
    </w:tbl>
    <w:p w:rsidR="000F332F" w:rsidRDefault="000F332F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CB1916" w:rsidRPr="008B5291" w:rsidRDefault="001C2B88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3. POSEBNI DIO PRORAČUNA</w:t>
      </w:r>
    </w:p>
    <w:p w:rsidR="00A704DC" w:rsidRPr="007B372A" w:rsidRDefault="00A704DC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 w:rsidRPr="007B372A">
        <w:rPr>
          <w:rFonts w:ascii="Times New Roman" w:hAnsi="Times New Roman" w:cs="Times New Roman"/>
          <w:sz w:val="24"/>
          <w:szCs w:val="24"/>
        </w:rPr>
        <w:t xml:space="preserve">U Posebnom dijelu Proračuna planirani su rashodi i izdaci po programima, a unutar istih po aktivnostima i projektima u okviru razdjela/glava definiranih u skladu s organizacijskom klasifikacijom Proračuna. </w:t>
      </w:r>
    </w:p>
    <w:p w:rsidR="007B372A" w:rsidRDefault="00A704DC" w:rsidP="007B372A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372A">
        <w:rPr>
          <w:rFonts w:ascii="Times New Roman" w:hAnsi="Times New Roman" w:cs="Times New Roman"/>
          <w:sz w:val="24"/>
          <w:szCs w:val="24"/>
        </w:rPr>
        <w:t xml:space="preserve">Program </w:t>
      </w:r>
      <w:r w:rsidR="007B372A" w:rsidRPr="007B372A">
        <w:rPr>
          <w:rFonts w:ascii="Times New Roman" w:hAnsi="Times New Roman" w:cs="Times New Roman"/>
          <w:b/>
          <w:sz w:val="24"/>
          <w:szCs w:val="24"/>
        </w:rPr>
        <w:t>rad općinskog vijeća</w:t>
      </w:r>
      <w:r w:rsidRPr="007B372A">
        <w:rPr>
          <w:rFonts w:ascii="Times New Roman" w:hAnsi="Times New Roman" w:cs="Times New Roman"/>
          <w:sz w:val="24"/>
          <w:szCs w:val="24"/>
        </w:rPr>
        <w:t xml:space="preserve"> obuhvaća</w:t>
      </w:r>
      <w:r w:rsidR="004226AB" w:rsidRPr="007B372A">
        <w:rPr>
          <w:rFonts w:ascii="Times New Roman" w:hAnsi="Times New Roman" w:cs="Times New Roman"/>
          <w:sz w:val="24"/>
          <w:szCs w:val="24"/>
        </w:rPr>
        <w:t xml:space="preserve"> </w:t>
      </w:r>
      <w:r w:rsidRPr="007B372A">
        <w:rPr>
          <w:rFonts w:ascii="Times New Roman" w:hAnsi="Times New Roman" w:cs="Times New Roman"/>
          <w:sz w:val="24"/>
          <w:szCs w:val="24"/>
        </w:rPr>
        <w:t xml:space="preserve">naknade za rad predstavničkog tijela, </w:t>
      </w:r>
      <w:r w:rsidR="007B372A" w:rsidRPr="007B372A">
        <w:rPr>
          <w:rFonts w:ascii="Times New Roman" w:hAnsi="Times New Roman" w:cs="Times New Roman"/>
          <w:sz w:val="24"/>
          <w:szCs w:val="24"/>
        </w:rPr>
        <w:t xml:space="preserve">potpore radu političkim strankama, </w:t>
      </w:r>
      <w:r w:rsidRPr="007B372A">
        <w:rPr>
          <w:rFonts w:ascii="Times New Roman" w:hAnsi="Times New Roman" w:cs="Times New Roman"/>
          <w:sz w:val="24"/>
          <w:szCs w:val="24"/>
        </w:rPr>
        <w:t xml:space="preserve">izdatke za proslavu Dana općine </w:t>
      </w:r>
      <w:r w:rsidR="007B372A" w:rsidRPr="007B372A">
        <w:rPr>
          <w:rFonts w:ascii="Times New Roman" w:hAnsi="Times New Roman" w:cs="Times New Roman"/>
          <w:sz w:val="24"/>
          <w:szCs w:val="24"/>
        </w:rPr>
        <w:t>Posedarje, troškove oko</w:t>
      </w:r>
      <w:r w:rsidR="00895A1D">
        <w:rPr>
          <w:rFonts w:ascii="Times New Roman" w:hAnsi="Times New Roman" w:cs="Times New Roman"/>
          <w:sz w:val="24"/>
          <w:szCs w:val="24"/>
        </w:rPr>
        <w:t xml:space="preserve"> raspisivanja lokalnih izbora te troškove </w:t>
      </w:r>
      <w:r w:rsidR="007B372A" w:rsidRPr="007B372A">
        <w:rPr>
          <w:rFonts w:ascii="Times New Roman" w:hAnsi="Times New Roman" w:cs="Times New Roman"/>
          <w:sz w:val="24"/>
          <w:szCs w:val="24"/>
        </w:rPr>
        <w:t xml:space="preserve"> raspisivanje/održavanje izbora za Vijeće mjesnih odbora.</w:t>
      </w:r>
      <w:r w:rsidRPr="007B372A">
        <w:rPr>
          <w:rFonts w:ascii="Times New Roman" w:hAnsi="Times New Roman" w:cs="Times New Roman"/>
          <w:sz w:val="24"/>
          <w:szCs w:val="24"/>
        </w:rPr>
        <w:t xml:space="preserve"> </w:t>
      </w:r>
      <w:r w:rsidR="007B372A" w:rsidRPr="007B372A">
        <w:rPr>
          <w:rFonts w:ascii="Times New Roman" w:hAnsi="Times New Roman" w:cs="Times New Roman"/>
          <w:sz w:val="24"/>
          <w:szCs w:val="24"/>
        </w:rPr>
        <w:t>Planirani troškovi navedenog programa za 202</w:t>
      </w:r>
      <w:r w:rsidR="00895A1D">
        <w:rPr>
          <w:rFonts w:ascii="Times New Roman" w:hAnsi="Times New Roman" w:cs="Times New Roman"/>
          <w:sz w:val="24"/>
          <w:szCs w:val="24"/>
        </w:rPr>
        <w:t>1</w:t>
      </w:r>
      <w:r w:rsidR="007B372A" w:rsidRPr="007B372A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895A1D">
        <w:rPr>
          <w:rFonts w:ascii="Times New Roman" w:hAnsi="Times New Roman" w:cs="Times New Roman"/>
          <w:sz w:val="24"/>
          <w:szCs w:val="24"/>
        </w:rPr>
        <w:t>518.800,00 kuna</w:t>
      </w:r>
      <w:r w:rsidR="007B372A" w:rsidRPr="007B372A">
        <w:rPr>
          <w:rFonts w:ascii="Times New Roman" w:hAnsi="Times New Roman" w:cs="Times New Roman"/>
          <w:sz w:val="24"/>
          <w:szCs w:val="24"/>
        </w:rPr>
        <w:t>.</w:t>
      </w:r>
      <w:r w:rsidRPr="007B372A">
        <w:rPr>
          <w:rFonts w:ascii="Times New Roman" w:hAnsi="Times New Roman" w:cs="Times New Roman"/>
          <w:sz w:val="24"/>
          <w:szCs w:val="24"/>
        </w:rPr>
        <w:t xml:space="preserve"> </w:t>
      </w:r>
      <w:r w:rsidR="003D4B14" w:rsidRPr="007B3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Općinsko vijeće predstavničko je tijelo građana i tijelo lokalne samouprave koje donosi odluke i akte u okviru prava i dužnosti Općine te obavlja i druge poslove u skladu sa Ustavom, zakonom i Statutom. </w:t>
      </w:r>
    </w:p>
    <w:p w:rsidR="007B372A" w:rsidRPr="007B372A" w:rsidRDefault="007B372A" w:rsidP="007B372A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7"/>
        <w:gridCol w:w="7571"/>
      </w:tblGrid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Pr="00181858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1E63B0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Default="00181858" w:rsidP="0018185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lastRenderedPageBreak/>
              <w:t>Zakon o lokalnoj i područnoj (regionalnoj) samoupravi (NN 33/01, 60/01, 129/05, 109/07, 125/08, 36/09, 36/09, 150/11, 144/12, 19/13, 137/15, 123/17, 98/19)</w:t>
            </w:r>
          </w:p>
          <w:p w:rsidR="007B372A" w:rsidRDefault="007B372A" w:rsidP="0018185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Statut Općine Posedarje (Službeni glasnik Općine Posedarje 01/13,02/13,02/18,03/18)</w:t>
            </w:r>
          </w:p>
          <w:p w:rsidR="00181858" w:rsidRDefault="00E67C2E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67C2E">
              <w:rPr>
                <w:rFonts w:ascii="Times New Roman" w:hAnsi="Times New Roman" w:cs="Times New Roman"/>
              </w:rPr>
              <w:t xml:space="preserve">Izmjene i dopune Odluke o reguliranju naknade za predsjednika Općinskog vijeća, dopredsjednika Općinskog vijeća i vijećnike za sudjelovanje u radu na sjednicama Općinskog vijeća Općine </w:t>
            </w:r>
            <w:r w:rsidR="007B372A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7B372A">
              <w:rPr>
                <w:rFonts w:ascii="Times New Roman" w:hAnsi="Times New Roman" w:cs="Times New Roman"/>
              </w:rPr>
              <w:t>Općine Posedarje</w:t>
            </w:r>
            <w:r w:rsidR="00D008FF">
              <w:rPr>
                <w:rFonts w:ascii="Times New Roman" w:hAnsi="Times New Roman" w:cs="Times New Roman"/>
              </w:rPr>
              <w:t xml:space="preserve"> 03/09</w:t>
            </w:r>
            <w:r w:rsidR="007B37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95A1D" w:rsidRDefault="00895A1D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raspoređivanju sredstava političkim strankama i nezavisnim kandidatima u Općinskom vijeću Općine Posedarje (Službeni glasnik Općine Posedarje 15/19)</w:t>
            </w:r>
          </w:p>
          <w:p w:rsidR="00E67C2E" w:rsidRDefault="00E67C2E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Poslovnik Općinskog vijeća Općine </w:t>
            </w:r>
            <w:r w:rsidR="007B372A">
              <w:rPr>
                <w:rFonts w:ascii="Times New Roman" w:hAnsi="Times New Roman" w:cs="Times New Roman"/>
              </w:rPr>
              <w:t xml:space="preserve">Posedarje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7B372A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372A">
              <w:rPr>
                <w:rFonts w:ascii="Times New Roman" w:hAnsi="Times New Roman" w:cs="Times New Roman"/>
              </w:rPr>
              <w:t>05/17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16F21" w:rsidRPr="00E67C2E" w:rsidRDefault="00C16F21" w:rsidP="00895A1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lokalnim izborima (NN 144/12, 121/16, 98/19</w:t>
            </w:r>
            <w:r w:rsidR="00895A1D">
              <w:rPr>
                <w:rFonts w:ascii="Times New Roman" w:hAnsi="Times New Roman" w:cs="Times New Roman"/>
              </w:rPr>
              <w:t>, 42/20)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1E63B0" w:rsidRDefault="001E63B0" w:rsidP="001E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8D71CF" w:rsidP="001E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Pr="00181858" w:rsidRDefault="008D71CF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0</w:t>
            </w:r>
            <w:r w:rsidR="00181858" w:rsidRPr="00181858">
              <w:rPr>
                <w:rFonts w:ascii="Times New Roman" w:hAnsi="Times New Roman" w:cs="Times New Roman"/>
              </w:rPr>
              <w:t xml:space="preserve">1 </w:t>
            </w:r>
            <w:r w:rsidR="007B372A">
              <w:rPr>
                <w:rFonts w:ascii="Times New Roman" w:hAnsi="Times New Roman" w:cs="Times New Roman"/>
              </w:rPr>
              <w:t>Naknade za članove vijeća</w:t>
            </w:r>
          </w:p>
          <w:p w:rsidR="00181858" w:rsidRPr="00181858" w:rsidRDefault="00181858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02 </w:t>
            </w:r>
            <w:r w:rsidR="007B372A">
              <w:rPr>
                <w:rFonts w:ascii="Times New Roman" w:hAnsi="Times New Roman" w:cs="Times New Roman"/>
              </w:rPr>
              <w:t>Potpore radu političkim strankama</w:t>
            </w:r>
          </w:p>
          <w:p w:rsidR="00181858" w:rsidRPr="00C16F21" w:rsidRDefault="00181858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03 </w:t>
            </w:r>
            <w:r w:rsidR="007B372A">
              <w:rPr>
                <w:rFonts w:ascii="Times New Roman" w:hAnsi="Times New Roman" w:cs="Times New Roman"/>
              </w:rPr>
              <w:t>Obilježavanje proslave dana Općine</w:t>
            </w:r>
          </w:p>
          <w:p w:rsidR="00C16F21" w:rsidRPr="00895A1D" w:rsidRDefault="00C16F21" w:rsidP="00895A1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="00895A1D">
              <w:rPr>
                <w:rFonts w:ascii="Times New Roman" w:hAnsi="Times New Roman" w:cs="Times New Roman"/>
              </w:rPr>
              <w:t>Lokalni izbori</w:t>
            </w:r>
          </w:p>
          <w:p w:rsidR="00895A1D" w:rsidRPr="00181858" w:rsidRDefault="00895A1D" w:rsidP="00895A1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Aktivnost A100105 Izbori za Vijeće mjesnih odbora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B372A" w:rsidRPr="007B372A" w:rsidRDefault="00895A1D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7B372A"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rganizacijskih, tehničkih i drugih uvjeta za održavanje redovnih sjednica Općinskog vijeća, </w:t>
            </w:r>
          </w:p>
          <w:p w:rsidR="007B372A" w:rsidRPr="007B372A" w:rsidRDefault="00895A1D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7B372A"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>spunjenje formalno-pravnih preduvjeta za stupanja na snagu općih akata njihovom objavom u Službenom glasniku</w:t>
            </w:r>
          </w:p>
          <w:p w:rsidR="007B372A" w:rsidRPr="007B372A" w:rsidRDefault="00895A1D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7B372A"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laniranje proračunskih sredstva za naknade članovima Općinskog vijeća, </w:t>
            </w:r>
          </w:p>
          <w:p w:rsidR="007B372A" w:rsidRDefault="00895A1D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7B372A"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edovno financiranje političkih stranaka zastupljenih u Općinskom vijeću. </w:t>
            </w:r>
          </w:p>
          <w:p w:rsidR="007B372A" w:rsidRDefault="007B372A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Obilježavanje i proslava Dana Općine</w:t>
            </w:r>
          </w:p>
          <w:p w:rsidR="00895A1D" w:rsidRDefault="00895A1D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Održavanje izbora za Vijeće mjesnih odbora</w:t>
            </w:r>
          </w:p>
          <w:p w:rsidR="008D71CF" w:rsidRPr="00895A1D" w:rsidRDefault="00895A1D" w:rsidP="00895A1D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Održavanje lokalnih izbora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89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  <w:r w:rsidR="00895A1D">
              <w:rPr>
                <w:rFonts w:ascii="Times New Roman" w:hAnsi="Times New Roman" w:cs="Times New Roman"/>
                <w:sz w:val="24"/>
                <w:szCs w:val="24"/>
              </w:rPr>
              <w:t xml:space="preserve">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B372A" w:rsidRDefault="00181858" w:rsidP="0018185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B372A">
              <w:rPr>
                <w:rFonts w:ascii="Times New Roman" w:hAnsi="Times New Roman" w:cs="Times New Roman"/>
              </w:rPr>
              <w:t>202</w:t>
            </w:r>
            <w:r w:rsidR="00895A1D">
              <w:rPr>
                <w:rFonts w:ascii="Times New Roman" w:hAnsi="Times New Roman" w:cs="Times New Roman"/>
              </w:rPr>
              <w:t>1</w:t>
            </w:r>
            <w:r w:rsidRPr="007B372A">
              <w:rPr>
                <w:rFonts w:ascii="Times New Roman" w:hAnsi="Times New Roman" w:cs="Times New Roman"/>
              </w:rPr>
              <w:t xml:space="preserve">. godina = </w:t>
            </w:r>
            <w:r w:rsidR="00895A1D">
              <w:rPr>
                <w:rFonts w:ascii="Times New Roman" w:hAnsi="Times New Roman" w:cs="Times New Roman"/>
              </w:rPr>
              <w:t>518.800,00</w:t>
            </w:r>
          </w:p>
          <w:p w:rsidR="007B372A" w:rsidRPr="007B372A" w:rsidRDefault="007B372A" w:rsidP="007B372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1858" w:rsidRPr="007B372A">
              <w:rPr>
                <w:rFonts w:ascii="Times New Roman" w:hAnsi="Times New Roman" w:cs="Times New Roman"/>
              </w:rPr>
              <w:t>02</w:t>
            </w:r>
            <w:r w:rsidR="00895A1D">
              <w:rPr>
                <w:rFonts w:ascii="Times New Roman" w:hAnsi="Times New Roman" w:cs="Times New Roman"/>
              </w:rPr>
              <w:t>2</w:t>
            </w:r>
            <w:r w:rsidR="00181858" w:rsidRPr="007B372A">
              <w:rPr>
                <w:rFonts w:ascii="Times New Roman" w:hAnsi="Times New Roman" w:cs="Times New Roman"/>
              </w:rPr>
              <w:t xml:space="preserve">. godina = </w:t>
            </w:r>
            <w:r w:rsidR="00895A1D">
              <w:rPr>
                <w:rFonts w:ascii="Times New Roman" w:hAnsi="Times New Roman" w:cs="Times New Roman"/>
              </w:rPr>
              <w:t>220.200,00</w:t>
            </w:r>
          </w:p>
          <w:p w:rsidR="00181858" w:rsidRPr="00181858" w:rsidRDefault="00181858" w:rsidP="00895A1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895A1D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A1D" w:rsidRPr="00895A1D">
              <w:rPr>
                <w:rFonts w:ascii="Times New Roman" w:hAnsi="Times New Roman" w:cs="Times New Roman"/>
              </w:rPr>
              <w:t>220.200,00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Default="00FD35BA" w:rsidP="00FD3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Ukupan broj predmeta/akata u obradi i rješavanju: Učestalost promjena akata iz domene predstavničkog tijela te broj održanih sjednica; </w:t>
            </w:r>
            <w:r w:rsidRPr="00FD35BA">
              <w:rPr>
                <w:rFonts w:ascii="Times New Roman" w:hAnsi="Times New Roman" w:cs="Times New Roman"/>
              </w:rPr>
              <w:t>redovita isplata naknada i troškova članovima Općinskog vijeća, odborima, nezavisnim vijećnicima, obračun i uplata zakonskih davanja u predviđenim rokovima</w:t>
            </w:r>
          </w:p>
        </w:tc>
      </w:tr>
    </w:tbl>
    <w:p w:rsidR="008B5291" w:rsidRDefault="008B5291" w:rsidP="008D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16" w:rsidRDefault="00443316" w:rsidP="008D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7C2E" w:rsidRDefault="00E67C2E" w:rsidP="008D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A17" w:rsidRPr="00443316" w:rsidRDefault="00A704DC" w:rsidP="00443316">
      <w:pPr>
        <w:pStyle w:val="StandardWeb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lang w:val="hr-HR"/>
        </w:rPr>
      </w:pPr>
      <w:r w:rsidRPr="00443316">
        <w:rPr>
          <w:lang w:val="hr-HR"/>
        </w:rPr>
        <w:t xml:space="preserve">Program </w:t>
      </w:r>
      <w:r w:rsidRPr="00443316">
        <w:rPr>
          <w:b/>
          <w:lang w:val="hr-HR"/>
        </w:rPr>
        <w:t xml:space="preserve">Redovna djelatnost </w:t>
      </w:r>
      <w:r w:rsidR="00932DCC">
        <w:rPr>
          <w:b/>
          <w:lang w:val="hr-HR"/>
        </w:rPr>
        <w:t>uprave</w:t>
      </w:r>
      <w:r w:rsidRPr="00443316">
        <w:rPr>
          <w:lang w:val="hr-HR"/>
        </w:rPr>
        <w:t xml:space="preserve"> obuhvaća rashode za zaposlene, rashode za materijal i energiju, rashode za usluge, financijske rashode, uredsku opremu, računala i računalnu opremu i programe, telekomunikacijske ure</w:t>
      </w:r>
      <w:r w:rsidR="00932DCC">
        <w:rPr>
          <w:lang w:val="hr-HR"/>
        </w:rPr>
        <w:t>đaje i opremu.</w:t>
      </w:r>
      <w:r w:rsidR="003C1A17" w:rsidRPr="00443316">
        <w:rPr>
          <w:lang w:val="hr-HR"/>
        </w:rPr>
        <w:t xml:space="preserve"> Ovim programom se osiguravaju materijalni uvjeti za rad, aktivnosti kojima se osiguravaju sredstva za redovno financiranje prava zaposlenika iz radnog odnosa, a</w:t>
      </w:r>
      <w:r w:rsidR="000B55C8">
        <w:rPr>
          <w:lang w:val="hr-HR"/>
        </w:rPr>
        <w:t>ktivnosti za podmirenje materijal</w:t>
      </w:r>
      <w:r w:rsidR="003C1A17" w:rsidRPr="00443316">
        <w:rPr>
          <w:lang w:val="hr-HR"/>
        </w:rPr>
        <w:t>nih rashoda i rashoda za usluge, te nabavu opreme i programa za stvaranje kvalitetnijih uvjeta za rad.</w:t>
      </w:r>
      <w:r w:rsidR="00443316" w:rsidRPr="00443316">
        <w:rPr>
          <w:shd w:val="clear" w:color="auto" w:fill="FFFFFF"/>
          <w:lang w:val="hr-HR"/>
        </w:rPr>
        <w:t xml:space="preserve"> Za obavljanje poslova iz samoupravnog djelokruga Općine te obavljanje poslova državne uprave koji su zakonom preneseni na Općinu, ustrojava  se Jedinstveni upravni odjel. </w:t>
      </w:r>
      <w:r w:rsidR="00443316" w:rsidRPr="00443316">
        <w:rPr>
          <w:lang w:val="hr-HR"/>
        </w:rPr>
        <w:t xml:space="preserve">Jedinstveni upravni odjel u okviru svoga djelokruga neposredno izvršava  i </w:t>
      </w:r>
      <w:r w:rsidR="00443316" w:rsidRPr="00443316">
        <w:rPr>
          <w:lang w:val="hr-HR"/>
        </w:rPr>
        <w:lastRenderedPageBreak/>
        <w:t>nadzire provođenje zakona i općih i pojedinačnih akata tijela Općine te poduzima propisane mjere: neposredno izvršava i osigurava provedbu zakona, odluka, općih i pojedinačnih akata Općinskog vijeća i Općinskog načelnika; neposredno izvršava poslove državne uprave prenijete u djelokrug Općine; prati stanje u područjima iz svog djelokruga i o tome izvještava Općinskog načelnika; priprema nacrte odluka i drugih općih akata koje donosi Općinsko viječe,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</w:t>
      </w:r>
      <w:r w:rsidR="00443316">
        <w:rPr>
          <w:lang w:val="hr-HR"/>
        </w:rPr>
        <w:t xml:space="preserve"> </w:t>
      </w:r>
      <w:r w:rsidR="00443316" w:rsidRPr="00443316">
        <w:rPr>
          <w:lang w:val="hr-HR"/>
        </w:rPr>
        <w:t>obavlja i druge poslove u skladu sa zakonom.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1"/>
        <w:gridCol w:w="7567"/>
      </w:tblGrid>
      <w:tr w:rsidR="00C903C3" w:rsidTr="00932DCC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Pr="00181858" w:rsidRDefault="00C903C3" w:rsidP="00932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  <w:r w:rsidR="00932DC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Redovna djelatnost </w:t>
            </w:r>
            <w:r w:rsidR="00932DCC">
              <w:rPr>
                <w:rFonts w:ascii="Times New Roman" w:hAnsi="Times New Roman" w:cs="Times New Roman"/>
              </w:rPr>
              <w:t>uprave</w:t>
            </w:r>
          </w:p>
        </w:tc>
      </w:tr>
      <w:tr w:rsidR="00C903C3" w:rsidTr="00932DCC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C903C3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6F0BD2" w:rsidRDefault="006F0BD2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proračunu (</w:t>
            </w:r>
            <w:r w:rsidRPr="006F0BD2">
              <w:rPr>
                <w:rFonts w:ascii="Times New Roman" w:hAnsi="Times New Roman" w:cs="Times New Roman"/>
              </w:rPr>
              <w:t>NN 87/08, 136/12, 15/15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903C3" w:rsidRDefault="00390E37" w:rsidP="00390E3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ustrojstvu Jedinstvenog upravnog odjela Općine </w:t>
            </w:r>
            <w:r w:rsidR="00932DCC">
              <w:rPr>
                <w:rFonts w:ascii="Times New Roman" w:hAnsi="Times New Roman" w:cs="Times New Roman"/>
              </w:rPr>
              <w:t xml:space="preserve">Posedarje (Službeni </w:t>
            </w:r>
            <w:r w:rsidRPr="00181858">
              <w:rPr>
                <w:rFonts w:ascii="Times New Roman" w:hAnsi="Times New Roman" w:cs="Times New Roman"/>
              </w:rPr>
              <w:t xml:space="preserve"> glasnik </w:t>
            </w:r>
            <w:r w:rsidR="00932DCC">
              <w:rPr>
                <w:rFonts w:ascii="Times New Roman" w:hAnsi="Times New Roman" w:cs="Times New Roman"/>
              </w:rPr>
              <w:t>Općine Posedarje13/18)</w:t>
            </w:r>
          </w:p>
          <w:p w:rsidR="00390E37" w:rsidRPr="001962CF" w:rsidRDefault="00390E37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962CF">
              <w:rPr>
                <w:rFonts w:ascii="Times New Roman" w:hAnsi="Times New Roman" w:cs="Times New Roman"/>
              </w:rPr>
              <w:t xml:space="preserve">Pravilnik o unutarnjem redu Jedinstvenog upravnog odjela Općine </w:t>
            </w:r>
            <w:r w:rsidR="00932DCC" w:rsidRPr="001962CF">
              <w:rPr>
                <w:rFonts w:ascii="Times New Roman" w:hAnsi="Times New Roman" w:cs="Times New Roman"/>
              </w:rPr>
              <w:t>Posedarje</w:t>
            </w:r>
            <w:r w:rsidRPr="001962CF">
              <w:rPr>
                <w:rFonts w:ascii="Times New Roman" w:hAnsi="Times New Roman" w:cs="Times New Roman"/>
              </w:rPr>
              <w:t xml:space="preserve"> (Službeni glasnik </w:t>
            </w:r>
            <w:r w:rsidR="00932DCC" w:rsidRPr="001962CF">
              <w:rPr>
                <w:rFonts w:ascii="Times New Roman" w:hAnsi="Times New Roman" w:cs="Times New Roman"/>
              </w:rPr>
              <w:t>Općine Posedarje</w:t>
            </w:r>
            <w:r w:rsidR="007255E2">
              <w:rPr>
                <w:rFonts w:ascii="Times New Roman" w:hAnsi="Times New Roman" w:cs="Times New Roman"/>
              </w:rPr>
              <w:t xml:space="preserve"> </w:t>
            </w:r>
            <w:r w:rsidR="00932DCC" w:rsidRPr="001962CF">
              <w:rPr>
                <w:rFonts w:ascii="Times New Roman" w:hAnsi="Times New Roman" w:cs="Times New Roman"/>
              </w:rPr>
              <w:t>13/18)</w:t>
            </w:r>
            <w:r w:rsidRPr="001962CF">
              <w:rPr>
                <w:rFonts w:ascii="Times New Roman" w:hAnsi="Times New Roman" w:cs="Times New Roman"/>
              </w:rPr>
              <w:t xml:space="preserve"> </w:t>
            </w:r>
          </w:p>
          <w:p w:rsidR="003C1A17" w:rsidRDefault="001962CF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t>Odluka o izmjenama Odluke o plaći i drugim pravima općinskog načelnika i zamjenika općinskog načelnika iz radnog odnosa</w:t>
            </w:r>
            <w:r w:rsidR="003C1A17" w:rsidRPr="001962CF">
              <w:rPr>
                <w:rFonts w:ascii="Times New Roman" w:hAnsi="Times New Roman" w:cs="Times New Roman"/>
              </w:rPr>
              <w:t xml:space="preserve"> (Službeni glasnik </w:t>
            </w:r>
            <w:r>
              <w:rPr>
                <w:rFonts w:ascii="Times New Roman" w:hAnsi="Times New Roman" w:cs="Times New Roman"/>
              </w:rPr>
              <w:t xml:space="preserve">Općine Posedarje </w:t>
            </w:r>
            <w:r w:rsidR="003C1A17" w:rsidRPr="001962CF">
              <w:rPr>
                <w:rFonts w:ascii="Times New Roman" w:hAnsi="Times New Roman" w:cs="Times New Roman"/>
              </w:rPr>
              <w:t>Zadarske županije 0</w:t>
            </w:r>
            <w:r>
              <w:rPr>
                <w:rFonts w:ascii="Times New Roman" w:hAnsi="Times New Roman" w:cs="Times New Roman"/>
              </w:rPr>
              <w:t>4/15,</w:t>
            </w:r>
            <w:r w:rsidR="00D008FF">
              <w:rPr>
                <w:rFonts w:ascii="Times New Roman" w:hAnsi="Times New Roman" w:cs="Times New Roman"/>
              </w:rPr>
              <w:t>01/19)</w:t>
            </w:r>
          </w:p>
          <w:p w:rsidR="00C71A30" w:rsidRDefault="003C1A17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C1A1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dluka </w:t>
            </w:r>
            <w:r w:rsidRPr="003C1A17">
              <w:rPr>
                <w:rFonts w:ascii="Times New Roman" w:hAnsi="Times New Roman" w:cs="Times New Roman"/>
              </w:rPr>
              <w:t>o koeficijentima za obračun plaće službenika i namještenika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A17">
              <w:rPr>
                <w:rFonts w:ascii="Times New Roman" w:hAnsi="Times New Roman" w:cs="Times New Roman"/>
              </w:rPr>
              <w:t xml:space="preserve">u Jedinstvenom upravnom odjelu Općine </w:t>
            </w:r>
            <w:r w:rsidR="00D008FF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D008FF">
              <w:rPr>
                <w:rFonts w:ascii="Times New Roman" w:hAnsi="Times New Roman" w:cs="Times New Roman"/>
              </w:rPr>
              <w:t>Općine Posedarje 14/18</w:t>
            </w:r>
            <w:r w:rsidR="007255E2">
              <w:rPr>
                <w:rFonts w:ascii="Times New Roman" w:hAnsi="Times New Roman" w:cs="Times New Roman"/>
              </w:rPr>
              <w:t xml:space="preserve"> </w:t>
            </w:r>
            <w:r w:rsidR="00C71A30">
              <w:rPr>
                <w:rFonts w:ascii="Times New Roman" w:hAnsi="Times New Roman" w:cs="Times New Roman"/>
              </w:rPr>
              <w:t>)</w:t>
            </w:r>
          </w:p>
          <w:p w:rsidR="003C1A17" w:rsidRPr="00C71A30" w:rsidRDefault="00C71A30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 o pravima iz radnog odnosa zaposlenika Općine Posedarje</w:t>
            </w:r>
          </w:p>
          <w:p w:rsidR="00C71A30" w:rsidRDefault="00C71A30" w:rsidP="00C71A30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(Službeni glasnik Općine Posedarje 06/20)</w:t>
            </w:r>
          </w:p>
          <w:p w:rsidR="00582A2D" w:rsidRPr="006F0BD2" w:rsidRDefault="00582A2D" w:rsidP="00D008FF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  <w:r w:rsidR="00DA5AD0">
              <w:rPr>
                <w:rFonts w:ascii="Times New Roman" w:hAnsi="Times New Roman" w:cs="Times New Roman"/>
                <w:sz w:val="24"/>
                <w:szCs w:val="24"/>
              </w:rPr>
              <w:t>(aktivnosti)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C903C3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D008FF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 w:rsidR="00D008FF">
              <w:rPr>
                <w:rFonts w:ascii="Times New Roman" w:hAnsi="Times New Roman" w:cs="Times New Roman"/>
              </w:rPr>
              <w:t>Izvršna uprava i administracija</w:t>
            </w:r>
          </w:p>
          <w:p w:rsidR="00D008FF" w:rsidRDefault="00D008FF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A100208 Najam vozila</w:t>
            </w:r>
          </w:p>
          <w:p w:rsidR="00D008FF" w:rsidRDefault="00D008FF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A100210 Financijski leasing</w:t>
            </w:r>
          </w:p>
          <w:p w:rsidR="00D008FF" w:rsidRDefault="00D008FF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K100204 Nabava opreme (računalna i uredska oprema)</w:t>
            </w:r>
          </w:p>
          <w:p w:rsidR="00C903C3" w:rsidRPr="00C903C3" w:rsidRDefault="00C903C3" w:rsidP="00D008FF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redovno podmirivanje financijskih obveza prema zaposlenicima,</w:t>
            </w:r>
          </w:p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osigurati materijalne i druge uvjete za redovito obavljanje zadaća Odjela,</w:t>
            </w:r>
          </w:p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korisnicima,</w:t>
            </w:r>
          </w:p>
          <w:p w:rsidR="00D008FF" w:rsidRPr="00BF1A4F" w:rsidRDefault="00D008FF" w:rsidP="00BF1A4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stvaranje sveobuhvatnog, učinkovitog i transparentnog sustava proračuna Općine Posedarje u skladu sa zakonskim propisima i suvremenim standardima financijskog upravljanja,</w:t>
            </w:r>
          </w:p>
          <w:p w:rsidR="00D008FF" w:rsidRPr="00BF1A4F" w:rsidRDefault="00D008FF" w:rsidP="00BF1A4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zadržavanje dostignute razine riješenosti žalbi u drugostupanjskom upravnom postupku na rješenja u predmetima utvrđivanja i naplate prihoda,</w:t>
            </w:r>
          </w:p>
          <w:p w:rsidR="00D008FF" w:rsidRPr="00BF1A4F" w:rsidRDefault="00D008FF" w:rsidP="00BF1A4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zakonito i učinkovito provođenje postupaka javne nabave.</w:t>
            </w:r>
          </w:p>
          <w:p w:rsidR="00C903C3" w:rsidRPr="003C1A17" w:rsidRDefault="00C903C3" w:rsidP="003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Pr="00181858" w:rsidRDefault="00C903C3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8A66D2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FD35BA">
              <w:rPr>
                <w:rFonts w:ascii="Times New Roman" w:hAnsi="Times New Roman" w:cs="Times New Roman"/>
              </w:rPr>
              <w:t>2.775.942,00</w:t>
            </w:r>
          </w:p>
          <w:p w:rsidR="00C903C3" w:rsidRPr="00181858" w:rsidRDefault="00C903C3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8A66D2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FD35BA">
              <w:rPr>
                <w:rFonts w:ascii="Times New Roman" w:hAnsi="Times New Roman" w:cs="Times New Roman"/>
              </w:rPr>
              <w:t>2.804.005,00</w:t>
            </w:r>
          </w:p>
          <w:p w:rsidR="00C903C3" w:rsidRPr="00181858" w:rsidRDefault="00C903C3" w:rsidP="00FD35B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8A66D2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FD35BA">
              <w:rPr>
                <w:rFonts w:ascii="Times New Roman" w:hAnsi="Times New Roman" w:cs="Times New Roman"/>
                <w:sz w:val="24"/>
                <w:szCs w:val="24"/>
              </w:rPr>
              <w:t>2.710.930,00</w:t>
            </w: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3C1A17" w:rsidP="00BF1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Pravovremeno doneseni akti; Pravovremeno obavljanje djelatnosti iz nadležnosti Jedinstvenog upravnog odjela</w:t>
            </w:r>
            <w:r w:rsidR="00BF1A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D35BA">
              <w:rPr>
                <w:rFonts w:ascii="Times New Roman" w:hAnsi="Times New Roman" w:cs="Times New Roman"/>
                <w:sz w:val="24"/>
                <w:szCs w:val="24"/>
              </w:rPr>
              <w:t xml:space="preserve"> Ukupan broj predmeta/akata u obradi i rješavanju; </w:t>
            </w:r>
            <w:r w:rsidR="00BF1A4F"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Racionalno financiranje rashoda za zaposlene u skladu sa  zakonom, propisima i internim aktima</w:t>
            </w:r>
            <w:r w:rsidR="00BF1A4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BF1A4F"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</w:tbl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2E3" w:rsidRDefault="00BF1A4F" w:rsidP="00BF1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="007F7E3E" w:rsidRPr="007F7E3E">
        <w:rPr>
          <w:rFonts w:ascii="Times New Roman" w:hAnsi="Times New Roman" w:cs="Times New Roman"/>
          <w:b/>
          <w:sz w:val="24"/>
          <w:szCs w:val="24"/>
        </w:rPr>
        <w:t>Organiziranje i provođenje zaštite i spašavanja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548B5">
        <w:rPr>
          <w:rFonts w:ascii="Times New Roman" w:hAnsi="Times New Roman" w:cs="Times New Roman"/>
          <w:sz w:val="24"/>
          <w:szCs w:val="24"/>
        </w:rPr>
        <w:t>288.000,00 kuna</w:t>
      </w:r>
      <w:r w:rsidRPr="00EA0C4D">
        <w:rPr>
          <w:rFonts w:ascii="Times New Roman" w:hAnsi="Times New Roman" w:cs="Times New Roman"/>
          <w:sz w:val="24"/>
          <w:szCs w:val="24"/>
        </w:rPr>
        <w:t xml:space="preserve"> obuhvaća sredstva za sufinanciranje DVD-a </w:t>
      </w:r>
      <w:r w:rsidR="007F7E3E">
        <w:rPr>
          <w:rFonts w:ascii="Times New Roman" w:hAnsi="Times New Roman" w:cs="Times New Roman"/>
          <w:sz w:val="24"/>
          <w:szCs w:val="24"/>
        </w:rPr>
        <w:t>Posedarje i funkcioniranje civilne zaštite.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DD03BB" w:rsidRPr="001441EF">
        <w:rPr>
          <w:rFonts w:ascii="Times New Roman" w:hAnsi="Times New Roman" w:cs="Times New Roman"/>
          <w:sz w:val="24"/>
          <w:szCs w:val="24"/>
        </w:rPr>
        <w:t xml:space="preserve">Sufinanciranje vatrogastva regulirano je Zakonom o vatrogastvu; za potrebe DVD Općine </w:t>
      </w:r>
      <w:r w:rsidR="001441EF">
        <w:rPr>
          <w:rFonts w:ascii="Times New Roman" w:hAnsi="Times New Roman" w:cs="Times New Roman"/>
          <w:sz w:val="24"/>
          <w:szCs w:val="24"/>
        </w:rPr>
        <w:t>Posedarje</w:t>
      </w:r>
      <w:r w:rsidR="00DD03BB" w:rsidRPr="001441EF">
        <w:rPr>
          <w:rFonts w:ascii="Times New Roman" w:hAnsi="Times New Roman" w:cs="Times New Roman"/>
          <w:sz w:val="24"/>
          <w:szCs w:val="24"/>
        </w:rPr>
        <w:t xml:space="preserve"> planira se izdvojiti </w:t>
      </w:r>
      <w:r w:rsidR="00EF62E3">
        <w:rPr>
          <w:rFonts w:ascii="Times New Roman" w:hAnsi="Times New Roman" w:cs="Times New Roman"/>
          <w:sz w:val="24"/>
          <w:szCs w:val="24"/>
        </w:rPr>
        <w:t>283.000,00 kune</w:t>
      </w:r>
      <w:r w:rsidR="00DD03BB" w:rsidRPr="001441EF">
        <w:rPr>
          <w:rFonts w:ascii="Times New Roman" w:hAnsi="Times New Roman" w:cs="Times New Roman"/>
          <w:sz w:val="24"/>
          <w:szCs w:val="24"/>
        </w:rPr>
        <w:t xml:space="preserve"> za redovnu djelatnost. Aktivnost za Civilnu zaštitu temeljena je na Zakonu o zaštiti i spašavanju i Civilnoj zaštiti. </w:t>
      </w:r>
      <w:r w:rsidR="00EF62E3">
        <w:rPr>
          <w:rFonts w:ascii="Times New Roman" w:hAnsi="Times New Roman" w:cs="Times New Roman"/>
          <w:sz w:val="24"/>
          <w:szCs w:val="24"/>
        </w:rPr>
        <w:t>Iznos od 5.000,00 kuna predviđen je za Hrvatsku gorsku službu spašavanja.</w:t>
      </w:r>
    </w:p>
    <w:p w:rsidR="00BF1A4F" w:rsidRDefault="00EF62E3" w:rsidP="00BF1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3"/>
        <w:gridCol w:w="7565"/>
      </w:tblGrid>
      <w:tr w:rsidR="00BF1A4F" w:rsidRPr="00181858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Pr="00181858" w:rsidRDefault="007F7E3E" w:rsidP="00807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  <w:r w:rsidR="00BF1A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Organiziranje i provođenje zaštite i spašavanja</w:t>
            </w:r>
          </w:p>
        </w:tc>
      </w:tr>
      <w:tr w:rsidR="00BF1A4F" w:rsidRPr="00EB35B1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Default="00BF1A4F" w:rsidP="00807EB2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zaštiti od požara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756BE">
              <w:rPr>
                <w:rFonts w:ascii="Times New Roman" w:hAnsi="Times New Roman" w:cs="Times New Roman"/>
              </w:rPr>
              <w:t>NN 92/10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F7E3E" w:rsidRDefault="007F7E3E" w:rsidP="007F7E3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7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lokalnoj i podr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učnoj (regionalnoj) samoupravi (</w:t>
            </w:r>
            <w:r w:rsidRPr="00181858">
              <w:rPr>
                <w:rFonts w:ascii="Times New Roman" w:hAnsi="Times New Roman" w:cs="Times New Roman"/>
              </w:rPr>
              <w:t>(NN 33/01, 60/01, 129/05, 109/07, 125/08, 36/09, 36/09, 150/11, 144/12, 19/13, 137/15, 123/17, 98/19)</w:t>
            </w:r>
          </w:p>
          <w:p w:rsidR="007F7E3E" w:rsidRPr="00580E03" w:rsidRDefault="007F7E3E" w:rsidP="00580E03">
            <w:pPr>
              <w:pStyle w:val="Odlomakpopisa"/>
              <w:numPr>
                <w:ilvl w:val="0"/>
                <w:numId w:val="2"/>
              </w:numPr>
              <w:shd w:val="clear" w:color="auto" w:fill="DEEAF6" w:themeFill="accent1" w:themeFillTint="33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vatrogastvu  (NN 106/99,NN117/01, NN 36/02, NN 96/03, NN 139/04, NN 1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74/04, NN 38/09, NN 80/10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/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).</w:t>
            </w:r>
          </w:p>
          <w:p w:rsidR="00BF1A4F" w:rsidRDefault="007F7E3E" w:rsidP="00580E0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Zakon o 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sustavu civilne zaštite (NN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82/15, NN118/18)</w:t>
            </w:r>
          </w:p>
          <w:p w:rsidR="00DD03BB" w:rsidRPr="00DD03BB" w:rsidRDefault="00DD03BB" w:rsidP="00580E0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donošenju Plana zaštite od požara (Službeni glasnik Općine Posedarje 02/20)</w:t>
            </w:r>
          </w:p>
          <w:p w:rsidR="00DD03BB" w:rsidRPr="00DD03BB" w:rsidRDefault="00DD03BB" w:rsidP="00DD03B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B">
              <w:rPr>
                <w:rFonts w:ascii="Times New Roman" w:hAnsi="Times New Roman" w:cs="Times New Roman"/>
                <w:sz w:val="24"/>
                <w:szCs w:val="24"/>
              </w:rPr>
              <w:t>Plan operativne provedbe programa aktivnosti u provedbi</w:t>
            </w:r>
          </w:p>
          <w:p w:rsidR="00DD03BB" w:rsidRPr="00DD03BB" w:rsidRDefault="00DD03BB" w:rsidP="00DD03B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DD03BB">
              <w:rPr>
                <w:rFonts w:ascii="Times New Roman" w:hAnsi="Times New Roman" w:cs="Times New Roman"/>
                <w:sz w:val="24"/>
                <w:szCs w:val="24"/>
              </w:rPr>
              <w:t>posebnih mjera zaštite od požara od interesa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Republiku Hrvatsku</w:t>
            </w:r>
          </w:p>
          <w:p w:rsidR="00DD03BB" w:rsidRDefault="00DD03BB" w:rsidP="00DD03BB">
            <w:pPr>
              <w:pStyle w:val="Odlomakpopisa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u 2020. godini na području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>osedarje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(Službeni glasnik Općine Posedarje 03/20)</w:t>
            </w:r>
          </w:p>
          <w:p w:rsidR="00DD03BB" w:rsidRPr="00653E75" w:rsidRDefault="00DD03BB" w:rsidP="00DD03B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unapređenja zaštite od požara na području Općine Posedarje (Službeni glasnik Općine Posedarje 03/20)</w:t>
            </w:r>
          </w:p>
          <w:p w:rsidR="00653E75" w:rsidRPr="00580E03" w:rsidRDefault="00653E75" w:rsidP="00653E75">
            <w:pPr>
              <w:pStyle w:val="Odlomakpopisa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BF1A4F" w:rsidRPr="003471D7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Default="00BF1A4F" w:rsidP="00807EB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580E03">
              <w:rPr>
                <w:rFonts w:ascii="Times New Roman" w:hAnsi="Times New Roman" w:cs="Times New Roman"/>
              </w:rPr>
              <w:t>A100301</w:t>
            </w:r>
            <w:r w:rsidR="007F7E3E">
              <w:rPr>
                <w:rFonts w:ascii="Times New Roman" w:hAnsi="Times New Roman" w:cs="Times New Roman"/>
              </w:rPr>
              <w:t xml:space="preserve"> Funkcioniranje DVD-a Posedarje</w:t>
            </w:r>
          </w:p>
          <w:p w:rsidR="00BF1A4F" w:rsidRPr="003471D7" w:rsidRDefault="00580E03" w:rsidP="00580E0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A100302 Funkcioniranje Civilne zaštite</w:t>
            </w:r>
          </w:p>
        </w:tc>
      </w:tr>
      <w:tr w:rsidR="00BF1A4F" w:rsidRPr="00181858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Pr="00181858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Postizanje učinkovite protupožarne zaštite</w:t>
            </w:r>
            <w:r w:rsidR="00580E03">
              <w:rPr>
                <w:rFonts w:ascii="Times New Roman" w:hAnsi="Times New Roman" w:cs="Times New Roman"/>
                <w:sz w:val="24"/>
                <w:szCs w:val="24"/>
              </w:rPr>
              <w:t xml:space="preserve"> i civilne zaštite</w:t>
            </w:r>
          </w:p>
        </w:tc>
      </w:tr>
      <w:tr w:rsidR="00BF1A4F" w:rsidRPr="00181858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Pr="00181858" w:rsidRDefault="00653E75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F1A4F" w:rsidRPr="00181858">
              <w:rPr>
                <w:rFonts w:ascii="Times New Roman" w:hAnsi="Times New Roman" w:cs="Times New Roman"/>
              </w:rPr>
              <w:t>. godina =</w:t>
            </w:r>
            <w:r w:rsidR="00BF1A4F">
              <w:rPr>
                <w:rFonts w:ascii="Times New Roman" w:hAnsi="Times New Roman" w:cs="Times New Roman"/>
              </w:rPr>
              <w:t xml:space="preserve"> </w:t>
            </w:r>
            <w:r w:rsidR="00CB30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CB30B0">
              <w:rPr>
                <w:rFonts w:ascii="Times New Roman" w:hAnsi="Times New Roman" w:cs="Times New Roman"/>
              </w:rPr>
              <w:t>8.000,00</w:t>
            </w:r>
          </w:p>
          <w:p w:rsidR="00CB30B0" w:rsidRPr="00CB30B0" w:rsidRDefault="00653E75" w:rsidP="00CB30B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F1A4F" w:rsidRPr="00181858">
              <w:rPr>
                <w:rFonts w:ascii="Times New Roman" w:hAnsi="Times New Roman" w:cs="Times New Roman"/>
              </w:rPr>
              <w:t xml:space="preserve">. godina = </w:t>
            </w:r>
            <w:r w:rsidR="00CB30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CB30B0">
              <w:rPr>
                <w:rFonts w:ascii="Times New Roman" w:hAnsi="Times New Roman" w:cs="Times New Roman"/>
              </w:rPr>
              <w:t>8.000,00</w:t>
            </w:r>
          </w:p>
          <w:p w:rsidR="00BF1A4F" w:rsidRPr="00181858" w:rsidRDefault="00653E75" w:rsidP="00653E7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BF1A4F" w:rsidRPr="00181858">
              <w:rPr>
                <w:rFonts w:ascii="Times New Roman" w:hAnsi="Times New Roman" w:cs="Times New Roman"/>
              </w:rPr>
              <w:t>. godina =</w:t>
            </w:r>
            <w:r w:rsidR="00BF1A4F"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0B0" w:rsidRPr="00653E75">
              <w:rPr>
                <w:rFonts w:ascii="Times New Roman" w:hAnsi="Times New Roman" w:cs="Times New Roman"/>
              </w:rPr>
              <w:t>2</w:t>
            </w:r>
            <w:r w:rsidRPr="00653E75">
              <w:rPr>
                <w:rFonts w:ascii="Times New Roman" w:hAnsi="Times New Roman" w:cs="Times New Roman"/>
              </w:rPr>
              <w:t>8</w:t>
            </w:r>
            <w:r w:rsidR="00CB30B0" w:rsidRPr="00653E75">
              <w:rPr>
                <w:rFonts w:ascii="Times New Roman" w:hAnsi="Times New Roman" w:cs="Times New Roman"/>
              </w:rPr>
              <w:t>8.000,00</w:t>
            </w:r>
          </w:p>
        </w:tc>
      </w:tr>
      <w:tr w:rsidR="00BF1A4F" w:rsidRPr="00AF10A5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Pr="00AF10A5" w:rsidRDefault="00BF1A4F" w:rsidP="00CB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Isplaćena sredstva za poslovanje DVD-a;</w:t>
            </w:r>
            <w:r w:rsidR="00653E75">
              <w:rPr>
                <w:rFonts w:ascii="Times New Roman" w:hAnsi="Times New Roman" w:cs="Times New Roman"/>
                <w:sz w:val="24"/>
                <w:szCs w:val="24"/>
              </w:rPr>
              <w:t xml:space="preserve"> Broj suzbijenih aktivnih požara: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0B0">
              <w:rPr>
                <w:rFonts w:ascii="Times New Roman" w:hAnsi="Times New Roman" w:cs="Times New Roman"/>
                <w:sz w:val="24"/>
                <w:szCs w:val="24"/>
              </w:rPr>
              <w:t>Isplaćena pomoć za Hrvatsku gorsku službu spašavanja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392" w:rsidRDefault="00C4539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Pr="00653E75" w:rsidRDefault="00A704DC" w:rsidP="00653E75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</w:rPr>
      </w:pPr>
      <w:r w:rsidRPr="003D4B14">
        <w:rPr>
          <w:rFonts w:ascii="Times New Roman" w:hAnsi="Times New Roman" w:cs="Times New Roman"/>
          <w:sz w:val="24"/>
          <w:szCs w:val="24"/>
        </w:rPr>
        <w:t xml:space="preserve">Program </w:t>
      </w:r>
      <w:r w:rsidR="00CB30B0" w:rsidRPr="00CB30B0">
        <w:rPr>
          <w:rFonts w:ascii="Times New Roman" w:hAnsi="Times New Roman" w:cs="Times New Roman"/>
          <w:b/>
          <w:sz w:val="24"/>
          <w:szCs w:val="24"/>
        </w:rPr>
        <w:t>Promicanje turizma</w:t>
      </w:r>
      <w:r w:rsidRPr="003D4B14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CB30B0">
        <w:rPr>
          <w:rFonts w:ascii="Times New Roman" w:hAnsi="Times New Roman" w:cs="Times New Roman"/>
          <w:sz w:val="24"/>
          <w:szCs w:val="24"/>
        </w:rPr>
        <w:t>aktivnosti usmjerene na organizaciju manifestacija ljetnih događanja .</w:t>
      </w:r>
      <w:r w:rsidR="00CB30B0" w:rsidRPr="00CB30B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Na području Općine 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>Posedarje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turizam se značajnije razvija 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>z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>ahvaljujući dobrom geografskom položaju, velikoj površini te velikom broju naselja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 xml:space="preserve"> te 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mogućnosti za razvoj turizma su brojne. Gotovo u svakom naselju obnovljene su ili izgrađene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 xml:space="preserve"> kuće za odmor s pratećim sadržajima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. Putem brojnih manifestacija i događanja te dodatnim ulaganjima u turističku infrastrukturu nastoji se privući što veći broj turista te 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>općinu Posedarje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učiniti još atraktivnijom turističkom destinacijom. </w:t>
      </w:r>
      <w:r w:rsidR="00653E75">
        <w:rPr>
          <w:rFonts w:ascii="Times New Roman" w:eastAsia="Calibri" w:hAnsi="Times New Roman" w:cs="Times New Roman"/>
          <w:noProof/>
          <w:sz w:val="24"/>
          <w:szCs w:val="24"/>
        </w:rPr>
        <w:t>Ovaj program obuhvaća i aktivnost pomoć Turističkoj zajednici Zadarske županije na financiranje marketinških aktivnost.</w:t>
      </w: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Pr="00181858" w:rsidRDefault="00CB30B0" w:rsidP="00F425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</w:t>
            </w:r>
            <w:r w:rsidR="00F42569">
              <w:rPr>
                <w:rFonts w:ascii="Times New Roman" w:hAnsi="Times New Roman" w:cs="Times New Roman"/>
              </w:rPr>
              <w:t xml:space="preserve"> </w:t>
            </w:r>
            <w:r w:rsidR="0057649E">
              <w:rPr>
                <w:rFonts w:ascii="Times New Roman" w:hAnsi="Times New Roman" w:cs="Times New Roman"/>
              </w:rPr>
              <w:t>Poticanje razvoja turizma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Default="00F42569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C5239" w:rsidRDefault="002C5239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suradnji na udruženim marketinškim aktivnostima između Općine </w:t>
            </w:r>
            <w:r w:rsidR="0057649E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i Turističke zajednice Zadarske županije</w:t>
            </w:r>
          </w:p>
          <w:p w:rsidR="00F42569" w:rsidRPr="00B32378" w:rsidRDefault="003D4B14" w:rsidP="002C523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D4B14">
              <w:rPr>
                <w:rFonts w:ascii="Times New Roman" w:hAnsi="Times New Roman" w:cs="Times New Roman"/>
              </w:rPr>
              <w:t>Zakon o turističkim zajednicama i promicanju hrvatskog turizma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D4B14">
              <w:rPr>
                <w:rFonts w:ascii="Times New Roman" w:hAnsi="Times New Roman" w:cs="Times New Roman"/>
              </w:rPr>
              <w:t>NN 152/08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Default="00F42569" w:rsidP="00F4256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57649E">
              <w:rPr>
                <w:rFonts w:ascii="Times New Roman" w:hAnsi="Times New Roman" w:cs="Times New Roman"/>
              </w:rPr>
              <w:t>5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 w:rsidR="0057649E">
              <w:rPr>
                <w:rFonts w:ascii="Times New Roman" w:hAnsi="Times New Roman" w:cs="Times New Roman"/>
              </w:rPr>
              <w:t>Organizacija manifestacija pos</w:t>
            </w:r>
            <w:r w:rsidR="00987780">
              <w:rPr>
                <w:rFonts w:ascii="Times New Roman" w:hAnsi="Times New Roman" w:cs="Times New Roman"/>
              </w:rPr>
              <w:t>edaračkog i</w:t>
            </w:r>
            <w:r w:rsidR="0057649E">
              <w:rPr>
                <w:rFonts w:ascii="Times New Roman" w:hAnsi="Times New Roman" w:cs="Times New Roman"/>
              </w:rPr>
              <w:t xml:space="preserve"> Vinjeračkog ljeta</w:t>
            </w:r>
          </w:p>
          <w:p w:rsidR="00F42569" w:rsidRPr="004F7510" w:rsidRDefault="00653E75" w:rsidP="00653E7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</w:t>
            </w:r>
            <w:r w:rsidR="00AA6FA2">
              <w:rPr>
                <w:rFonts w:ascii="Times New Roman" w:hAnsi="Times New Roman" w:cs="Times New Roman"/>
              </w:rPr>
              <w:t>100502 Pomoć Turističkoj zajednici Zadarske županije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Pr="004A128D" w:rsidRDefault="00ED7995" w:rsidP="004A12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A128D">
              <w:rPr>
                <w:rFonts w:ascii="Times New Roman" w:hAnsi="Times New Roman" w:cs="Times New Roman"/>
              </w:rPr>
              <w:t>Poticanje daljnjeg razvoja turizma;</w:t>
            </w:r>
            <w:r w:rsidR="004A128D" w:rsidRPr="004A128D">
              <w:rPr>
                <w:rFonts w:ascii="Times New Roman" w:hAnsi="Times New Roman" w:cs="Times New Roman"/>
              </w:rPr>
              <w:t xml:space="preserve"> poticanje promocije općine </w:t>
            </w:r>
            <w:r w:rsidR="004A128D">
              <w:rPr>
                <w:rFonts w:ascii="Times New Roman" w:hAnsi="Times New Roman" w:cs="Times New Roman"/>
              </w:rPr>
              <w:t>Posedarje</w:t>
            </w:r>
            <w:r w:rsidR="004A128D" w:rsidRPr="004A128D">
              <w:rPr>
                <w:rFonts w:ascii="Times New Roman" w:hAnsi="Times New Roman" w:cs="Times New Roman"/>
              </w:rPr>
              <w:t xml:space="preserve"> i njezinih tradicijskih običaja,</w:t>
            </w:r>
            <w:r w:rsidR="0057649E" w:rsidRPr="004A128D">
              <w:rPr>
                <w:rFonts w:ascii="Times New Roman" w:hAnsi="Times New Roman" w:cs="Times New Roman"/>
              </w:rPr>
              <w:t>;</w:t>
            </w:r>
            <w:r w:rsidR="0057649E" w:rsidRPr="004A128D">
              <w:rPr>
                <w:rFonts w:ascii="Times New Roman" w:eastAsia="Calibri" w:hAnsi="Times New Roman" w:cs="Times New Roman"/>
              </w:rPr>
              <w:t xml:space="preserve"> Povećanje broja manifestacija posebno u pred i posezoni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Pr="00181858" w:rsidRDefault="00F42569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D60F0F">
              <w:rPr>
                <w:rFonts w:ascii="Times New Roman" w:hAnsi="Times New Roman" w:cs="Times New Roman"/>
              </w:rPr>
              <w:t xml:space="preserve">   </w:t>
            </w:r>
            <w:r w:rsidR="004A128D">
              <w:rPr>
                <w:rFonts w:ascii="Times New Roman" w:hAnsi="Times New Roman" w:cs="Times New Roman"/>
              </w:rPr>
              <w:t>361.450,00</w:t>
            </w:r>
          </w:p>
          <w:p w:rsidR="00F42569" w:rsidRPr="00181858" w:rsidRDefault="00F42569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57649E">
              <w:rPr>
                <w:rFonts w:ascii="Times New Roman" w:hAnsi="Times New Roman" w:cs="Times New Roman"/>
              </w:rPr>
              <w:t xml:space="preserve"> </w:t>
            </w:r>
            <w:r w:rsidR="004A128D">
              <w:rPr>
                <w:rFonts w:ascii="Times New Roman" w:hAnsi="Times New Roman" w:cs="Times New Roman"/>
              </w:rPr>
              <w:t xml:space="preserve"> </w:t>
            </w:r>
            <w:r w:rsidR="0057649E">
              <w:rPr>
                <w:rFonts w:ascii="Times New Roman" w:hAnsi="Times New Roman" w:cs="Times New Roman"/>
              </w:rPr>
              <w:t xml:space="preserve"> </w:t>
            </w:r>
            <w:r w:rsidR="004A128D">
              <w:rPr>
                <w:rFonts w:ascii="Times New Roman" w:hAnsi="Times New Roman" w:cs="Times New Roman"/>
              </w:rPr>
              <w:t>381.450,00</w:t>
            </w:r>
          </w:p>
          <w:p w:rsidR="00F42569" w:rsidRPr="00181858" w:rsidRDefault="00F42569" w:rsidP="004A128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 xml:space="preserve">. godina </w:t>
            </w:r>
            <w:r w:rsidR="004A128D">
              <w:rPr>
                <w:rFonts w:ascii="Times New Roman" w:hAnsi="Times New Roman" w:cs="Times New Roman"/>
              </w:rPr>
              <w:t>=    361.450,00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Pr="00AF10A5" w:rsidRDefault="003471D7" w:rsidP="0057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Unapređenje turističkih sadržaja; </w:t>
            </w:r>
            <w:r w:rsidR="001D01CC">
              <w:rPr>
                <w:rFonts w:ascii="Times New Roman" w:hAnsi="Times New Roman" w:cs="Times New Roman"/>
                <w:sz w:val="24"/>
                <w:szCs w:val="24"/>
              </w:rPr>
              <w:t>; Povećanje broja noćenja turista.</w:t>
            </w:r>
          </w:p>
        </w:tc>
      </w:tr>
    </w:tbl>
    <w:p w:rsidR="00F42569" w:rsidRDefault="00F42569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49E" w:rsidRPr="003D105A" w:rsidRDefault="0057649E" w:rsidP="0057649E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7649E">
        <w:rPr>
          <w:rFonts w:ascii="Times New Roman" w:hAnsi="Times New Roman" w:cs="Times New Roman"/>
          <w:b/>
          <w:sz w:val="24"/>
          <w:szCs w:val="24"/>
        </w:rPr>
        <w:t>Zaštita okoliša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obuhvaća aktivnosti i projekte koji su od općeg značaja i izravno utječu na zaštitu okoliša i poboljšanje uvjeta života.</w:t>
      </w:r>
    </w:p>
    <w:p w:rsidR="0057649E" w:rsidRDefault="0057649E" w:rsidP="0057649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napToGrid w:val="0"/>
          <w:sz w:val="24"/>
          <w:szCs w:val="24"/>
        </w:rPr>
      </w:pPr>
      <w:r w:rsidRPr="003D105A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Cilj programa je unaprijediti stanje u okolišu, odnosno kvalitetu praćenja ili mjerenja pojedinih sastavnica okoliša.</w:t>
      </w:r>
      <w:r w:rsidR="00005D6E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Ukupno planirana sredstva za relaizaciju ovog programa za 202</w:t>
      </w:r>
      <w:r w:rsidR="004A128D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1</w:t>
      </w:r>
      <w:r w:rsidR="00005D6E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. godinu iznose </w:t>
      </w:r>
      <w:r w:rsidR="004A128D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438.100,00 kuna.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0"/>
        <w:gridCol w:w="7568"/>
      </w:tblGrid>
      <w:tr w:rsidR="00005D6E" w:rsidRPr="0018185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Pr="00181858" w:rsidRDefault="00005D6E" w:rsidP="00005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0106 Zaštita okoliša</w:t>
            </w:r>
          </w:p>
        </w:tc>
      </w:tr>
      <w:tr w:rsidR="00005D6E" w:rsidRPr="00D02DC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Default="00005D6E" w:rsidP="00005D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005D6E" w:rsidRPr="00005D6E" w:rsidRDefault="00005D6E" w:rsidP="00005D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Općine Posedarje (Službeni glasnik Općine Posedarje 01/13,02/13,02/18,03/18).</w:t>
            </w:r>
          </w:p>
          <w:p w:rsidR="00005D6E" w:rsidRPr="00005D6E" w:rsidRDefault="00005D6E" w:rsidP="00005D6E">
            <w:pPr>
              <w:pStyle w:val="Bezprored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održivom gospodarenju otpadom (</w:t>
            </w:r>
            <w:r>
              <w:t>NN 94/13, NN 73 17, NN 73/17, NN 14/19, NN 98/19).</w:t>
            </w:r>
          </w:p>
          <w:p w:rsidR="00005D6E" w:rsidRPr="00005D6E" w:rsidRDefault="00005D6E" w:rsidP="00005D6E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okoliša (NN 88,13, NN 153/13, NN 78/15, NN 12/18, NN 118/18)</w:t>
            </w:r>
          </w:p>
          <w:p w:rsidR="00005D6E" w:rsidRPr="00005D6E" w:rsidRDefault="00005D6E" w:rsidP="00005D6E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Zakon o zaštiti prirode NN 80/13, NN 15/18, NN 14/19)</w:t>
            </w:r>
          </w:p>
          <w:p w:rsidR="00005D6E" w:rsidRPr="00005D6E" w:rsidRDefault="00005D6E" w:rsidP="00005D6E">
            <w:pPr>
              <w:pStyle w:val="Bezproreda"/>
            </w:pPr>
          </w:p>
          <w:p w:rsidR="00005D6E" w:rsidRPr="00987780" w:rsidRDefault="00005D6E" w:rsidP="0098778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Program održavanje  komunalne infrastrukture na području Općine Poseadrje za 202</w:t>
            </w:r>
            <w:r w:rsidR="004A12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. godinu, </w:t>
            </w:r>
          </w:p>
          <w:p w:rsidR="00987780" w:rsidRPr="00987780" w:rsidRDefault="00987780" w:rsidP="0098778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Ugovor s Čistoćom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</w:t>
            </w: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adar o odvozu otpada</w:t>
            </w:r>
          </w:p>
          <w:p w:rsidR="00987780" w:rsidRPr="00987780" w:rsidRDefault="00987780" w:rsidP="0098778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Ugovor s Cianom Split o provođenju sustava deratizacije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 dezisekcije</w:t>
            </w:r>
          </w:p>
          <w:p w:rsidR="00005D6E" w:rsidRPr="001D01CC" w:rsidRDefault="00005D6E" w:rsidP="00005D6E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5D6E" w:rsidRPr="004F7510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Default="00005D6E" w:rsidP="00807EB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Aktivnost </w:t>
            </w:r>
            <w:r w:rsidR="00987780">
              <w:rPr>
                <w:rFonts w:ascii="Times New Roman" w:hAnsi="Times New Roman" w:cs="Times New Roman"/>
              </w:rPr>
              <w:t>A100601 Odvoz otpada, deratizacija</w:t>
            </w:r>
          </w:p>
          <w:p w:rsidR="00987780" w:rsidRDefault="00987780" w:rsidP="00807EB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A100604 </w:t>
            </w:r>
            <w:r w:rsidR="00FB12F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anacija nelegalnih odlagališta</w:t>
            </w:r>
          </w:p>
          <w:p w:rsidR="00005D6E" w:rsidRPr="003471D7" w:rsidRDefault="00005D6E" w:rsidP="00FB12F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5D6E" w:rsidRPr="0018185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Pr="00181858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razvoja određenih područja i zadovoljenje zakonskih propisa kroz zajedničko financiranje.</w:t>
            </w:r>
          </w:p>
        </w:tc>
      </w:tr>
      <w:tr w:rsidR="00005D6E" w:rsidRPr="0018185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Pr="00181858" w:rsidRDefault="00005D6E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128D">
              <w:rPr>
                <w:rFonts w:ascii="Times New Roman" w:hAnsi="Times New Roman" w:cs="Times New Roman"/>
              </w:rPr>
              <w:t>438.100,00</w:t>
            </w:r>
          </w:p>
          <w:p w:rsidR="00005D6E" w:rsidRPr="00181858" w:rsidRDefault="00005D6E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godina =</w:t>
            </w:r>
            <w:r w:rsidR="004A128D">
              <w:rPr>
                <w:rFonts w:ascii="Times New Roman" w:hAnsi="Times New Roman" w:cs="Times New Roman"/>
              </w:rPr>
              <w:t>463.100,00</w:t>
            </w:r>
          </w:p>
          <w:p w:rsidR="00005D6E" w:rsidRPr="00181858" w:rsidRDefault="00005D6E" w:rsidP="004A128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2FB" w:rsidRPr="004A128D">
              <w:rPr>
                <w:rFonts w:ascii="Times New Roman" w:hAnsi="Times New Roman" w:cs="Times New Roman"/>
              </w:rPr>
              <w:t>406.600,00</w:t>
            </w:r>
          </w:p>
        </w:tc>
      </w:tr>
      <w:tr w:rsidR="00005D6E" w:rsidRPr="00AF10A5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Pr="00AF10A5" w:rsidRDefault="00FB12FB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Podizanje razine svijesti o okolišu, poduzimanje mjera u svrhu  očuvanja ljudskog zdravlja i okoliša, te čuvanje estetskih i prirodnih vrijednosti.</w:t>
            </w:r>
          </w:p>
        </w:tc>
      </w:tr>
    </w:tbl>
    <w:p w:rsidR="00005D6E" w:rsidRDefault="00005D6E" w:rsidP="0057649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napToGrid w:val="0"/>
          <w:sz w:val="24"/>
          <w:szCs w:val="24"/>
        </w:rPr>
      </w:pPr>
    </w:p>
    <w:p w:rsidR="00FB12FB" w:rsidRPr="003D105A" w:rsidRDefault="00FB12FB" w:rsidP="00FB12FB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EA0C4D">
        <w:rPr>
          <w:rFonts w:ascii="Times New Roman" w:hAnsi="Times New Roman" w:cs="Times New Roman"/>
          <w:b/>
          <w:sz w:val="24"/>
          <w:szCs w:val="24"/>
        </w:rPr>
        <w:t>Održavanje komunalne infrastrukture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DB52AC">
        <w:rPr>
          <w:rFonts w:ascii="Times New Roman" w:hAnsi="Times New Roman" w:cs="Times New Roman"/>
          <w:sz w:val="24"/>
          <w:szCs w:val="24"/>
        </w:rPr>
        <w:t>1.915.000,00 kuna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105A">
        <w:rPr>
          <w:rFonts w:ascii="Times New Roman" w:eastAsia="Calibri" w:hAnsi="Times New Roman" w:cs="Times New Roman"/>
          <w:sz w:val="24"/>
        </w:rPr>
        <w:t>Programom održavanja komunalne infrastrukture određuju radovi na održavanju objekata i uređaja komunalne infrastrukture koji se razumijevaju oba</w:t>
      </w:r>
      <w:r w:rsidR="00DB52AC">
        <w:rPr>
          <w:rFonts w:ascii="Times New Roman" w:eastAsia="Calibri" w:hAnsi="Times New Roman" w:cs="Times New Roman"/>
          <w:sz w:val="24"/>
        </w:rPr>
        <w:t>vljanjem komunalnih djelatnosti te obuhvaća slijedeće aktivnosti:</w:t>
      </w:r>
    </w:p>
    <w:p w:rsidR="00DB52AC" w:rsidRPr="00DB52AC" w:rsidRDefault="00FB12FB" w:rsidP="00DB52AC">
      <w:pPr>
        <w:numPr>
          <w:ilvl w:val="0"/>
          <w:numId w:val="2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3D105A">
        <w:rPr>
          <w:rFonts w:ascii="Times New Roman" w:eastAsia="Calibri" w:hAnsi="Times New Roman" w:cs="Times New Roman"/>
          <w:sz w:val="24"/>
        </w:rPr>
        <w:t xml:space="preserve">održavanja javnih površina </w:t>
      </w:r>
      <w:r w:rsidR="00DB52AC">
        <w:rPr>
          <w:rFonts w:ascii="Times New Roman" w:eastAsia="Calibri" w:hAnsi="Times New Roman" w:cs="Times New Roman"/>
          <w:sz w:val="24"/>
        </w:rPr>
        <w:t xml:space="preserve"> aktivnost A100701</w:t>
      </w:r>
      <w:r w:rsidR="00B823F4">
        <w:rPr>
          <w:rFonts w:ascii="Times New Roman" w:eastAsia="Calibri" w:hAnsi="Times New Roman" w:cs="Times New Roman"/>
          <w:sz w:val="24"/>
        </w:rPr>
        <w:t xml:space="preserve"> planiran iznos 305.000,00 kuna</w:t>
      </w:r>
    </w:p>
    <w:p w:rsidR="00FB12FB" w:rsidRPr="00DB52AC" w:rsidRDefault="00FB12FB" w:rsidP="00DB52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52AC">
        <w:rPr>
          <w:rFonts w:ascii="Times New Roman" w:hAnsi="Times New Roman" w:cs="Times New Roman"/>
          <w:sz w:val="24"/>
          <w:szCs w:val="24"/>
        </w:rPr>
        <w:t>Pod održavanjem javnih zelenih površina podrazumijeva se košnja, obrezivanje i sakupljanje  otpada s javnih zelenih površina, obnova, održavanje i njega drveća, ukrasnog grmlja i drugog bilja, popločenih i nasipanih površina u parkovima,  fitosanitarna zaštita bilja i biljnog materijala za potrebe održavanja i drugi poslovi potrebni za održavanje tih površina</w:t>
      </w:r>
    </w:p>
    <w:p w:rsidR="00DB52AC" w:rsidRDefault="00DB52AC" w:rsidP="00DB52AC">
      <w:pPr>
        <w:pStyle w:val="Odlomakpopisa"/>
        <w:suppressAutoHyphens/>
        <w:autoSpaceDN w:val="0"/>
        <w:spacing w:after="120" w:line="276" w:lineRule="auto"/>
        <w:ind w:left="106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FB12FB" w:rsidRDefault="00FB12FB" w:rsidP="00FB12FB">
      <w:pPr>
        <w:pStyle w:val="Odlomakpopisa"/>
        <w:numPr>
          <w:ilvl w:val="0"/>
          <w:numId w:val="26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održavanje nerazvrstanih (lokalnih cesta)</w:t>
      </w:r>
      <w:r w:rsidR="00DB52AC">
        <w:rPr>
          <w:rFonts w:ascii="Times New Roman" w:eastAsia="Calibri" w:hAnsi="Times New Roman" w:cs="Times New Roman"/>
          <w:sz w:val="24"/>
          <w:szCs w:val="24"/>
        </w:rPr>
        <w:t xml:space="preserve"> aktivnost A100702</w:t>
      </w:r>
      <w:r w:rsidR="00B823F4">
        <w:rPr>
          <w:rFonts w:ascii="Times New Roman" w:eastAsia="Calibri" w:hAnsi="Times New Roman" w:cs="Times New Roman"/>
          <w:sz w:val="24"/>
          <w:szCs w:val="24"/>
        </w:rPr>
        <w:t xml:space="preserve"> planiran iznos 500.000,00 kuna</w:t>
      </w:r>
    </w:p>
    <w:p w:rsidR="00FB12FB" w:rsidRPr="00DB52AC" w:rsidRDefault="00FB12FB" w:rsidP="00FB12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B12FB">
        <w:rPr>
          <w:rFonts w:ascii="Times New Roman" w:hAnsi="Times New Roman" w:cs="Times New Roman"/>
          <w:sz w:val="24"/>
          <w:szCs w:val="24"/>
        </w:rPr>
        <w:t xml:space="preserve"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</w:t>
      </w:r>
      <w:r w:rsidRPr="00DB52AC">
        <w:rPr>
          <w:rFonts w:ascii="Times New Roman" w:hAnsi="Times New Roman" w:cs="Times New Roman"/>
          <w:sz w:val="24"/>
          <w:szCs w:val="24"/>
        </w:rPr>
        <w:t>i povećanja sigurnosti prometa (izvanredno održavanje), a u skladu s propisima kojima je uređeno održavanje cesta.</w:t>
      </w:r>
    </w:p>
    <w:p w:rsidR="00FB12FB" w:rsidRPr="00DB52AC" w:rsidRDefault="00FB12FB" w:rsidP="00FB12FB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:rsidR="00FB12FB" w:rsidRPr="00DB52AC" w:rsidRDefault="00B823F4" w:rsidP="00FB12FB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javne rasvjete aktivnost A100703 planiran iznos 730.000,00 kuna</w:t>
      </w:r>
    </w:p>
    <w:p w:rsidR="00FB12FB" w:rsidRPr="00DB52AC" w:rsidRDefault="00FB12FB" w:rsidP="00FB12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52AC">
        <w:rPr>
          <w:rFonts w:ascii="Times New Roman" w:hAnsi="Times New Roman" w:cs="Times New Roman"/>
          <w:sz w:val="24"/>
          <w:szCs w:val="24"/>
        </w:rPr>
        <w:t>Pod održavanjem javne rasvjete podrazumijeva se upravljanje i održavanje instalacija javne rasvjete, uključujući podmirivan</w:t>
      </w:r>
      <w:r w:rsidR="00B823F4">
        <w:rPr>
          <w:rFonts w:ascii="Times New Roman" w:hAnsi="Times New Roman" w:cs="Times New Roman"/>
          <w:sz w:val="24"/>
          <w:szCs w:val="24"/>
        </w:rPr>
        <w:t>je troškova električne energije</w:t>
      </w:r>
      <w:r w:rsidRPr="00DB52AC">
        <w:rPr>
          <w:rFonts w:ascii="Times New Roman" w:hAnsi="Times New Roman" w:cs="Times New Roman"/>
          <w:sz w:val="24"/>
          <w:szCs w:val="24"/>
        </w:rPr>
        <w:t xml:space="preserve"> za rasvjetljavanje površina javne namjene.</w:t>
      </w:r>
    </w:p>
    <w:p w:rsidR="00FB12FB" w:rsidRPr="00DB52AC" w:rsidRDefault="00FB12FB" w:rsidP="00FB12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12FB" w:rsidRDefault="00B823F4" w:rsidP="00FB12FB">
      <w:pPr>
        <w:pStyle w:val="Bezproreda"/>
        <w:numPr>
          <w:ilvl w:val="0"/>
          <w:numId w:val="26"/>
        </w:numPr>
      </w:pPr>
      <w:r>
        <w:t>o</w:t>
      </w:r>
      <w:r w:rsidR="00FB12FB">
        <w:t>pskrba mještana vodom s hidranata</w:t>
      </w:r>
      <w:r>
        <w:t xml:space="preserve"> aktivnost A100704 planiran iznos 250.000,00 kuna</w:t>
      </w:r>
    </w:p>
    <w:p w:rsidR="00FB12FB" w:rsidRPr="00FB12FB" w:rsidRDefault="00FB12FB" w:rsidP="00FB12FB">
      <w:pPr>
        <w:pStyle w:val="Bezproreda"/>
      </w:pPr>
      <w:r>
        <w:t>Pod ovom aktivnosti podrazumijeva se opskrba s vodom mještana Općine Posedarje koji nemaju pristup redovnoj opskrbi  s vodom s vodovodne mreže već im se voda toči s hidranata u spremnike (gusterne)</w:t>
      </w:r>
    </w:p>
    <w:p w:rsidR="00FB12FB" w:rsidRDefault="00FB12FB" w:rsidP="00FB12FB">
      <w:pPr>
        <w:pStyle w:val="Bezproreda"/>
        <w:ind w:left="1068"/>
      </w:pPr>
    </w:p>
    <w:p w:rsidR="00FB12FB" w:rsidRDefault="00B823F4" w:rsidP="00FB12FB">
      <w:pPr>
        <w:pStyle w:val="Bezproreda"/>
        <w:numPr>
          <w:ilvl w:val="0"/>
          <w:numId w:val="26"/>
        </w:numPr>
      </w:pPr>
      <w:r>
        <w:t>održavanja groblja aktivnost A100705 planiran iznos 25.000,00 kuna</w:t>
      </w:r>
    </w:p>
    <w:p w:rsidR="00FB12FB" w:rsidRPr="003D105A" w:rsidRDefault="00FB12FB" w:rsidP="00FB12FB">
      <w:pPr>
        <w:pStyle w:val="Bezproreda"/>
      </w:pPr>
      <w:r w:rsidRPr="003D105A">
        <w:rPr>
          <w:szCs w:val="24"/>
        </w:rPr>
        <w:t xml:space="preserve">Pod održavanjem groblja podrazumijeva se održavanje </w:t>
      </w:r>
      <w:r>
        <w:rPr>
          <w:szCs w:val="24"/>
        </w:rPr>
        <w:t xml:space="preserve">groblja, </w:t>
      </w:r>
      <w:r w:rsidRPr="003D105A">
        <w:rPr>
          <w:szCs w:val="24"/>
        </w:rPr>
        <w:t>uređivanje putova, zelenih i drugih površina unutar groblja</w:t>
      </w:r>
    </w:p>
    <w:p w:rsidR="00FB12FB" w:rsidRDefault="00FB12FB" w:rsidP="00FB12FB">
      <w:pPr>
        <w:suppressAutoHyphens/>
        <w:autoSpaceDN w:val="0"/>
        <w:spacing w:after="12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FB12FB" w:rsidRDefault="00FB12FB" w:rsidP="00FB12FB">
      <w:pPr>
        <w:numPr>
          <w:ilvl w:val="0"/>
          <w:numId w:val="2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FB12FB">
        <w:rPr>
          <w:rFonts w:ascii="Times New Roman" w:eastAsia="Calibri" w:hAnsi="Times New Roman" w:cs="Times New Roman"/>
          <w:sz w:val="24"/>
        </w:rPr>
        <w:t>održavanje plaža</w:t>
      </w:r>
      <w:r w:rsidR="00B823F4">
        <w:rPr>
          <w:rFonts w:ascii="Times New Roman" w:eastAsia="Calibri" w:hAnsi="Times New Roman" w:cs="Times New Roman"/>
          <w:sz w:val="24"/>
        </w:rPr>
        <w:t xml:space="preserve"> aktivnost A100706 planiran iznos 105.000,00 kuna</w:t>
      </w:r>
    </w:p>
    <w:p w:rsidR="00FB12FB" w:rsidRPr="00FB12FB" w:rsidRDefault="00FB12FB" w:rsidP="00FB12FB">
      <w:pPr>
        <w:suppressAutoHyphens/>
        <w:autoSpaceDN w:val="0"/>
        <w:spacing w:after="12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Pod održavanjem plaža podrazumijeva se uređenje nasipanje, strojno uređenje plaža.</w:t>
      </w:r>
    </w:p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FB12FB" w:rsidRPr="00EB35B1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Zakon o komunalnom gospodarstvu (NN </w:t>
            </w:r>
            <w:r w:rsidRPr="00351370">
              <w:rPr>
                <w:rFonts w:ascii="Times New Roman" w:hAnsi="Times New Roman" w:cs="Times New Roman"/>
              </w:rPr>
              <w:t>68/18, 110/18</w:t>
            </w:r>
            <w:r w:rsidR="00B823F4">
              <w:rPr>
                <w:rFonts w:ascii="Times New Roman" w:hAnsi="Times New Roman" w:cs="Times New Roman"/>
              </w:rPr>
              <w:t>, 32/20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4756BE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cestama (</w:t>
            </w:r>
            <w:r w:rsidRPr="00351370">
              <w:rPr>
                <w:rFonts w:ascii="Times New Roman" w:hAnsi="Times New Roman" w:cs="Times New Roman"/>
              </w:rPr>
              <w:t>NN 84/11, 22/13, 54/13, 148/13, 92/14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392">
              <w:rPr>
                <w:rFonts w:ascii="Times New Roman" w:hAnsi="Times New Roman" w:cs="Times New Roman"/>
              </w:rPr>
              <w:t>Zakon o zaštiti životinja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C3392">
              <w:rPr>
                <w:rFonts w:ascii="Times New Roman" w:hAnsi="Times New Roman" w:cs="Times New Roman"/>
              </w:rPr>
              <w:t>NN 102/17, 32/19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392">
              <w:rPr>
                <w:rFonts w:ascii="Times New Roman" w:hAnsi="Times New Roman" w:cs="Times New Roman"/>
              </w:rPr>
              <w:t>Zakon o zaštiti pučanstva od zaraznih bolesti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C3392">
              <w:rPr>
                <w:rFonts w:ascii="Times New Roman" w:hAnsi="Times New Roman" w:cs="Times New Roman"/>
              </w:rPr>
              <w:t>NN 79/07, 113/08, 43/09, 130/17</w:t>
            </w:r>
            <w:r w:rsidR="00B823F4">
              <w:rPr>
                <w:rFonts w:ascii="Times New Roman" w:hAnsi="Times New Roman" w:cs="Times New Roman"/>
              </w:rPr>
              <w:t>, 114/18, 47/20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AC3392" w:rsidRDefault="00FB12FB" w:rsidP="00FB12F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komunalnim djelatnostima na području Općine Posedarje</w:t>
            </w:r>
          </w:p>
        </w:tc>
      </w:tr>
      <w:tr w:rsidR="00FB12FB" w:rsidRPr="003471D7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A100701 Održavanje javnih površina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A100702 Održavanje nerazvrstanih cesta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A100703 Održavanje javne rasvjete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A100704 Opskrba mještana vodom s hidranata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A100705 Održavanje groblja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A100706 Održavanje plaža</w:t>
            </w:r>
          </w:p>
          <w:p w:rsidR="00FB12FB" w:rsidRPr="00FB12FB" w:rsidRDefault="00FB12FB" w:rsidP="00FB12F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181858" w:rsidRDefault="00FB12FB" w:rsidP="00B8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92">
              <w:rPr>
                <w:rFonts w:ascii="Times New Roman" w:hAnsi="Times New Roman" w:cs="Times New Roman"/>
                <w:sz w:val="24"/>
                <w:szCs w:val="24"/>
              </w:rPr>
              <w:t>Održavanje prometnica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C3392">
              <w:rPr>
                <w:rFonts w:ascii="Times New Roman" w:hAnsi="Times New Roman" w:cs="Times New Roman"/>
                <w:sz w:val="24"/>
                <w:szCs w:val="24"/>
              </w:rPr>
              <w:t>održavanje funkcionalnosti javne rasvjete i plaćanje troškova energenta; održavanje zelenih površina, šetnica, dječjih igrališta u funkcionalnom stanju; održavanje groblja u funkcionalnom stanju, provođenje veterinarsko-higijeničarskih usluga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sanacija i asfaltiranje nerazvrstanih cesta</w:t>
            </w:r>
            <w:r w:rsidR="00B823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plaža</w:t>
            </w: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823F4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BA7C2A">
              <w:rPr>
                <w:rFonts w:ascii="Times New Roman" w:hAnsi="Times New Roman" w:cs="Times New Roman"/>
              </w:rPr>
              <w:t xml:space="preserve"> </w:t>
            </w:r>
            <w:r w:rsidR="00B823F4">
              <w:rPr>
                <w:rFonts w:ascii="Times New Roman" w:hAnsi="Times New Roman" w:cs="Times New Roman"/>
              </w:rPr>
              <w:t>1.915.000,00</w:t>
            </w:r>
          </w:p>
          <w:p w:rsidR="00FB12FB" w:rsidRPr="00FB12FB" w:rsidRDefault="00B823F4" w:rsidP="00FB12F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FB12FB" w:rsidRPr="00181858">
              <w:rPr>
                <w:rFonts w:ascii="Times New Roman" w:hAnsi="Times New Roman" w:cs="Times New Roman"/>
              </w:rPr>
              <w:t>. godina =</w:t>
            </w:r>
            <w:r w:rsidR="00FB12FB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723.000,00</w:t>
            </w:r>
          </w:p>
          <w:p w:rsidR="00FB12FB" w:rsidRPr="00181858" w:rsidRDefault="00B823F4" w:rsidP="00B823F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FB12FB" w:rsidRPr="00181858">
              <w:rPr>
                <w:rFonts w:ascii="Times New Roman" w:hAnsi="Times New Roman" w:cs="Times New Roman"/>
              </w:rPr>
              <w:t>. godina =</w:t>
            </w:r>
            <w:r w:rsidR="00FB12FB"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596.000,00</w:t>
            </w:r>
          </w:p>
        </w:tc>
      </w:tr>
      <w:tr w:rsidR="00FB12FB" w:rsidRPr="00AF10A5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AF10A5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</w:tbl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Program </w:t>
      </w:r>
      <w:r w:rsidRPr="00FB12FB">
        <w:rPr>
          <w:rFonts w:ascii="Times New Roman" w:eastAsia="Calibri" w:hAnsi="Times New Roman" w:cs="Times New Roman"/>
          <w:b/>
          <w:sz w:val="24"/>
        </w:rPr>
        <w:t>Izgradnja komunalne infrastrukture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FB12FB">
        <w:rPr>
          <w:rFonts w:ascii="Times New Roman" w:eastAsia="Calibri" w:hAnsi="Times New Roman" w:cs="Times New Roman"/>
          <w:sz w:val="24"/>
        </w:rPr>
        <w:t xml:space="preserve">planiran je u iznosu od </w:t>
      </w:r>
      <w:r w:rsidR="000C61FE">
        <w:rPr>
          <w:rFonts w:ascii="Times New Roman" w:eastAsia="Calibri" w:hAnsi="Times New Roman" w:cs="Times New Roman"/>
          <w:sz w:val="24"/>
        </w:rPr>
        <w:t>7.414.880,00 kuna.</w:t>
      </w:r>
      <w:r>
        <w:rPr>
          <w:rFonts w:ascii="Times New Roman" w:eastAsia="Calibri" w:hAnsi="Times New Roman" w:cs="Times New Roman"/>
          <w:sz w:val="24"/>
        </w:rPr>
        <w:t xml:space="preserve"> Program obuhvaća slijedeće projekte: Izgradnja vodovoda, izgradnja kanalizacijskog sustava, izgradnja dječjih igrališta, rekonstrukcija groblja, izrada urbanističkih planova i projektne dokumentacije, izgradnja prometnica, izgradnja autobusnih stajališta,</w:t>
      </w:r>
      <w:r w:rsidR="000C61FE">
        <w:rPr>
          <w:rFonts w:ascii="Times New Roman" w:eastAsia="Calibri" w:hAnsi="Times New Roman" w:cs="Times New Roman"/>
          <w:sz w:val="24"/>
        </w:rPr>
        <w:t xml:space="preserve"> uređenje parka na Obali Ante Damira Klanca u Posedarju.</w:t>
      </w:r>
      <w:r>
        <w:rPr>
          <w:rFonts w:ascii="Times New Roman" w:eastAsia="Calibri" w:hAnsi="Times New Roman" w:cs="Times New Roman"/>
          <w:sz w:val="24"/>
        </w:rPr>
        <w:t xml:space="preserve"> izgradnja vanjske rasvjete, sanacija potpornog zida u Tunjaricama/Pose</w:t>
      </w:r>
      <w:r w:rsidR="000C61FE">
        <w:rPr>
          <w:rFonts w:ascii="Times New Roman" w:eastAsia="Calibri" w:hAnsi="Times New Roman" w:cs="Times New Roman"/>
          <w:sz w:val="24"/>
        </w:rPr>
        <w:t>darje, Sanacija oborinskih voda i uređenje rive u Posedarju.</w:t>
      </w:r>
      <w:r w:rsidRPr="00FB12FB">
        <w:rPr>
          <w:rFonts w:ascii="Times New Roman" w:hAnsi="Times New Roman" w:cs="Times New Roman"/>
          <w:sz w:val="24"/>
          <w:szCs w:val="24"/>
        </w:rPr>
        <w:t xml:space="preserve"> </w:t>
      </w:r>
      <w:r w:rsidRPr="00181247">
        <w:rPr>
          <w:rFonts w:ascii="Times New Roman" w:hAnsi="Times New Roman" w:cs="Times New Roman"/>
          <w:sz w:val="24"/>
          <w:szCs w:val="24"/>
        </w:rPr>
        <w:t>Komunalna infrastruktura gradi se u skladu s programom građenja komunalne infrastrukture ili u skladu s ugovorom ili drugim aktom određenim posebnim zakonom.</w:t>
      </w:r>
    </w:p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2"/>
        <w:gridCol w:w="7566"/>
      </w:tblGrid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F4" w:rsidRDefault="00B823F4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0108 Izgradnja komunalne infrastrukture</w:t>
            </w:r>
          </w:p>
        </w:tc>
      </w:tr>
      <w:tr w:rsidR="00FB12FB" w:rsidRPr="00AC3392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Zakon o komunalnom gospodarstvu (NN </w:t>
            </w:r>
            <w:r w:rsidRPr="00351370">
              <w:rPr>
                <w:rFonts w:ascii="Times New Roman" w:hAnsi="Times New Roman" w:cs="Times New Roman"/>
              </w:rPr>
              <w:t>68/18, 110/18</w:t>
            </w:r>
            <w:r w:rsidR="000C61FE">
              <w:rPr>
                <w:rFonts w:ascii="Times New Roman" w:hAnsi="Times New Roman" w:cs="Times New Roman"/>
              </w:rPr>
              <w:t>, 32/20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4756BE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Pravilnik </w:t>
            </w:r>
            <w:r w:rsidRPr="00EB35B1">
              <w:rPr>
                <w:rFonts w:ascii="Times New Roman" w:hAnsi="Times New Roman" w:cs="Times New Roman"/>
              </w:rPr>
              <w:t>o jednostavnim i drugim građevinama i radovima (NN 112/17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AC3392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B35B1">
              <w:rPr>
                <w:rFonts w:ascii="Times New Roman" w:hAnsi="Times New Roman" w:cs="Times New Roman"/>
              </w:rPr>
              <w:t>Zakon o poslovima i djelatnostima prostornog uređenja i gradnje</w:t>
            </w:r>
            <w:r>
              <w:rPr>
                <w:rFonts w:ascii="Times New Roman" w:hAnsi="Times New Roman" w:cs="Times New Roman"/>
              </w:rPr>
              <w:t xml:space="preserve"> (NN 78/15, 118/18)</w:t>
            </w:r>
          </w:p>
        </w:tc>
      </w:tr>
      <w:tr w:rsidR="00FB12FB" w:rsidRPr="00AC3392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K100802Izgradnja vodovoda</w:t>
            </w:r>
          </w:p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K100803 Izgradnja kanalizacijskog sustava</w:t>
            </w:r>
          </w:p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K100804 Izgradnja dječjih igrališta</w:t>
            </w:r>
          </w:p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K100805 Rekonstrukcija groblja</w:t>
            </w:r>
          </w:p>
          <w:p w:rsidR="00FB12FB" w:rsidRPr="006C6747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K100806 Izrada urbanističkih planova i projektne dokumentacije</w:t>
            </w:r>
          </w:p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K1008007 Izgradnja prometnica</w:t>
            </w:r>
          </w:p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K100811 Izgradnja autobusnih stajališta</w:t>
            </w:r>
          </w:p>
          <w:p w:rsidR="006C6747" w:rsidRPr="006C6747" w:rsidRDefault="006C6747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K100813</w:t>
            </w:r>
            <w:r>
              <w:rPr>
                <w:rFonts w:ascii="Times New Roman" w:hAnsi="Times New Roman" w:cs="Times New Roman"/>
              </w:rPr>
              <w:t xml:space="preserve"> Uređenje glavnog parka na obali Ande Damira Klanca</w:t>
            </w:r>
          </w:p>
          <w:p w:rsidR="00FB12FB" w:rsidRPr="006C6747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K100815 Izgradnja vanjske rasvjete</w:t>
            </w:r>
          </w:p>
          <w:p w:rsidR="00FB12FB" w:rsidRPr="006C6747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 K100816 Sanacija potpornog zida u Tunjaricama/Posedarje</w:t>
            </w:r>
          </w:p>
          <w:p w:rsidR="00FB12FB" w:rsidRPr="006C6747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K100817 sanacija oborinskih voda</w:t>
            </w: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3D105A" w:rsidRDefault="00FB12FB" w:rsidP="00FB12FB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Procjenjuje se da će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projekti biti realizirani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sukladno smjernicama i programskim aktivnostima.</w:t>
            </w: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6747">
              <w:rPr>
                <w:rFonts w:ascii="Times New Roman" w:hAnsi="Times New Roman" w:cs="Times New Roman"/>
              </w:rPr>
              <w:t>7.414.880,00</w:t>
            </w:r>
          </w:p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2021. godina =</w:t>
            </w:r>
            <w:r w:rsidR="006C6747">
              <w:rPr>
                <w:rFonts w:ascii="Times New Roman" w:hAnsi="Times New Roman" w:cs="Times New Roman"/>
              </w:rPr>
              <w:t xml:space="preserve"> 7.195.899,00</w:t>
            </w:r>
          </w:p>
          <w:p w:rsidR="00FB12FB" w:rsidRPr="00181858" w:rsidRDefault="00FB12FB" w:rsidP="006C674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747" w:rsidRPr="006C6747">
              <w:rPr>
                <w:rFonts w:ascii="Times New Roman" w:hAnsi="Times New Roman" w:cs="Times New Roman"/>
              </w:rPr>
              <w:t>6.139.500,00</w:t>
            </w:r>
          </w:p>
        </w:tc>
      </w:tr>
      <w:tr w:rsidR="00FB12FB" w:rsidRPr="00AF10A5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AF10A5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komunalne infrastrukture kroz predložene projekte u cilju povećanje kvalitete života i stanovanja. </w:t>
            </w:r>
          </w:p>
        </w:tc>
      </w:tr>
    </w:tbl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FB12FB">
        <w:rPr>
          <w:rFonts w:ascii="Times New Roman" w:hAnsi="Times New Roman" w:cs="Times New Roman"/>
          <w:b/>
          <w:sz w:val="24"/>
          <w:szCs w:val="24"/>
        </w:rPr>
        <w:t>Promicanje kulture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747">
        <w:rPr>
          <w:rFonts w:ascii="Times New Roman" w:hAnsi="Times New Roman" w:cs="Times New Roman"/>
          <w:sz w:val="24"/>
          <w:szCs w:val="24"/>
        </w:rPr>
        <w:t>161.000,00 kuna</w:t>
      </w:r>
      <w:r w:rsidRPr="00EA0C4D">
        <w:rPr>
          <w:rFonts w:ascii="Times New Roman" w:hAnsi="Times New Roman" w:cs="Times New Roman"/>
          <w:sz w:val="24"/>
          <w:szCs w:val="24"/>
        </w:rPr>
        <w:t xml:space="preserve"> odnosi se na dodjelu sredstava udrugama u kulturi, sufinanciranje Bibliobusa, </w:t>
      </w:r>
      <w:r>
        <w:rPr>
          <w:rFonts w:ascii="Times New Roman" w:hAnsi="Times New Roman" w:cs="Times New Roman"/>
          <w:sz w:val="24"/>
          <w:szCs w:val="24"/>
        </w:rPr>
        <w:t xml:space="preserve"> te tekuće donacije vjerskim zajednicama. </w:t>
      </w:r>
    </w:p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4"/>
        <w:gridCol w:w="7564"/>
      </w:tblGrid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1009 </w:t>
            </w:r>
            <w:r w:rsidR="000035EC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romicanje kulture</w:t>
            </w:r>
          </w:p>
        </w:tc>
      </w:tr>
      <w:tr w:rsidR="00FB12FB" w:rsidRPr="003E5B3D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 (</w:t>
            </w:r>
            <w:r w:rsidRPr="00112256">
              <w:rPr>
                <w:rFonts w:ascii="Times New Roman" w:hAnsi="Times New Roman" w:cs="Times New Roman"/>
              </w:rPr>
              <w:t>NN 74/14, 70/17,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2256">
              <w:rPr>
                <w:rFonts w:ascii="Times New Roman" w:hAnsi="Times New Roman" w:cs="Times New Roman"/>
              </w:rPr>
              <w:t>Uredb</w:t>
            </w:r>
            <w:r>
              <w:rPr>
                <w:rFonts w:ascii="Times New Roman" w:hAnsi="Times New Roman" w:cs="Times New Roman"/>
              </w:rPr>
              <w:t>a</w:t>
            </w:r>
            <w:r w:rsidRPr="00112256">
              <w:rPr>
                <w:rFonts w:ascii="Times New Roman" w:hAnsi="Times New Roman" w:cs="Times New Roman"/>
              </w:rPr>
              <w:t xml:space="preserve"> o kriterijima, mjerilima i postupcima financiranja i ugovaranja programa i projekata od interesa za opće dobro koje provode udruge (</w:t>
            </w:r>
            <w:r>
              <w:rPr>
                <w:rFonts w:ascii="Times New Roman" w:hAnsi="Times New Roman" w:cs="Times New Roman"/>
              </w:rPr>
              <w:t>NN 26/15</w:t>
            </w:r>
            <w:r w:rsidRPr="00112256"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Pravilnik o financiranju javn</w:t>
            </w:r>
            <w:r w:rsidR="000035EC">
              <w:rPr>
                <w:rFonts w:ascii="Times New Roman" w:hAnsi="Times New Roman" w:cs="Times New Roman"/>
              </w:rPr>
              <w:t>ih potreba Općine 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 04/18)</w:t>
            </w:r>
          </w:p>
          <w:p w:rsidR="00FB12FB" w:rsidRPr="00990DD1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90DD1">
              <w:rPr>
                <w:rFonts w:ascii="Times New Roman" w:hAnsi="Times New Roman" w:cs="Times New Roman"/>
              </w:rPr>
              <w:t>Zakon o financiranju javnih potreba u kulturi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90DD1">
              <w:rPr>
                <w:rFonts w:ascii="Times New Roman" w:hAnsi="Times New Roman" w:cs="Times New Roman"/>
              </w:rPr>
              <w:t>NN 47/90, 27/93, 38/09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B12FB" w:rsidRPr="003E5B3D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A100901Kulturne manifestacije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A100903 Religija</w:t>
            </w:r>
          </w:p>
          <w:p w:rsidR="00FB12FB" w:rsidRPr="00D7514E" w:rsidRDefault="00FB12FB" w:rsidP="00FB12F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Zadovoljavanje kulturnih potreba građana kroz ostvarenje redovitog 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bibliobusa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, poticanje kulturnog amaterizma i stvaralaštva, provođenje kulturnih projekata i programa, zaštitu kulturnih dob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 i očuvanje kulturne baštine;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Sufinancira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FB12FB" w:rsidRPr="00181858" w:rsidTr="006D6C67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57AFC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7AFC">
              <w:rPr>
                <w:rFonts w:ascii="Times New Roman" w:hAnsi="Times New Roman" w:cs="Times New Roman"/>
              </w:rPr>
              <w:t>161.000,00</w:t>
            </w:r>
          </w:p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57AFC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B57AFC">
              <w:rPr>
                <w:rFonts w:ascii="Times New Roman" w:hAnsi="Times New Roman" w:cs="Times New Roman"/>
              </w:rPr>
              <w:t xml:space="preserve"> 136.000,00</w:t>
            </w:r>
          </w:p>
          <w:p w:rsidR="00FB12FB" w:rsidRPr="00181858" w:rsidRDefault="00FB12FB" w:rsidP="00B57AF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lastRenderedPageBreak/>
              <w:t>202</w:t>
            </w:r>
            <w:r w:rsidR="00B57AFC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AFC">
              <w:rPr>
                <w:rFonts w:ascii="Times New Roman" w:hAnsi="Times New Roman" w:cs="Times New Roman"/>
                <w:sz w:val="24"/>
                <w:szCs w:val="24"/>
              </w:rPr>
              <w:t>146.000,00</w:t>
            </w:r>
          </w:p>
        </w:tc>
      </w:tr>
      <w:tr w:rsidR="00FB12FB" w:rsidRPr="00AF10A5" w:rsidTr="006D6C67">
        <w:trPr>
          <w:trHeight w:val="678"/>
        </w:trPr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AF10A5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Povećanje kulturnih događanja na podru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čju Općine i posjetitelja istih; P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ovećan broj aktivnih članova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udruga, posebice djece i mladih: V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eć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zaštita tradicije i baštine, </w:t>
            </w:r>
            <w:r w:rsidRPr="00D7514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organiziranih nastupa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C67" w:rsidRDefault="006D6C67" w:rsidP="006D6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="000035EC">
        <w:rPr>
          <w:rFonts w:ascii="Times New Roman" w:hAnsi="Times New Roman" w:cs="Times New Roman"/>
          <w:sz w:val="24"/>
          <w:szCs w:val="24"/>
        </w:rPr>
        <w:t xml:space="preserve">Razvoj </w:t>
      </w:r>
      <w:r w:rsidR="000035EC" w:rsidRPr="000035EC">
        <w:rPr>
          <w:rFonts w:ascii="Times New Roman" w:hAnsi="Times New Roman" w:cs="Times New Roman"/>
          <w:b/>
          <w:sz w:val="24"/>
          <w:szCs w:val="24"/>
        </w:rPr>
        <w:t>sporta i rekreacije</w:t>
      </w:r>
      <w:r w:rsidRPr="00EA0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sz w:val="24"/>
          <w:szCs w:val="24"/>
        </w:rPr>
        <w:t>odnose se na sredstva za sportske udruge i sportske događaje u iznosu od</w:t>
      </w:r>
      <w:r w:rsidR="00BA7C2A">
        <w:rPr>
          <w:rFonts w:ascii="Times New Roman" w:hAnsi="Times New Roman" w:cs="Times New Roman"/>
          <w:sz w:val="24"/>
          <w:szCs w:val="24"/>
        </w:rPr>
        <w:t xml:space="preserve"> </w:t>
      </w:r>
      <w:r w:rsidR="00B57AFC">
        <w:rPr>
          <w:rFonts w:ascii="Times New Roman" w:hAnsi="Times New Roman" w:cs="Times New Roman"/>
          <w:sz w:val="24"/>
          <w:szCs w:val="24"/>
        </w:rPr>
        <w:t>1.195.000,00 kuna.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C67" w:rsidRDefault="006D6C67" w:rsidP="006D6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5"/>
        <w:gridCol w:w="7563"/>
      </w:tblGrid>
      <w:tr w:rsidR="006D6C67" w:rsidRPr="00181858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 Razvoj sporta i rekreacije</w:t>
            </w:r>
          </w:p>
        </w:tc>
      </w:tr>
      <w:tr w:rsidR="006D6C67" w:rsidRPr="003E5B3D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 (</w:t>
            </w:r>
            <w:r w:rsidRPr="00112256">
              <w:rPr>
                <w:rFonts w:ascii="Times New Roman" w:hAnsi="Times New Roman" w:cs="Times New Roman"/>
              </w:rPr>
              <w:t>NN 74/14, 70/17,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2256">
              <w:rPr>
                <w:rFonts w:ascii="Times New Roman" w:hAnsi="Times New Roman" w:cs="Times New Roman"/>
              </w:rPr>
              <w:t>Uredb</w:t>
            </w:r>
            <w:r>
              <w:rPr>
                <w:rFonts w:ascii="Times New Roman" w:hAnsi="Times New Roman" w:cs="Times New Roman"/>
              </w:rPr>
              <w:t>a</w:t>
            </w:r>
            <w:r w:rsidRPr="00112256">
              <w:rPr>
                <w:rFonts w:ascii="Times New Roman" w:hAnsi="Times New Roman" w:cs="Times New Roman"/>
              </w:rPr>
              <w:t xml:space="preserve"> o kriterijima, mjerilima i postupcima financiranja i ugovaranja programa i projekata od interesa za opće dobro koje provode udruge (</w:t>
            </w:r>
            <w:r>
              <w:rPr>
                <w:rFonts w:ascii="Times New Roman" w:hAnsi="Times New Roman" w:cs="Times New Roman"/>
              </w:rPr>
              <w:t>NN 26/15</w:t>
            </w:r>
            <w:r w:rsidRPr="00112256">
              <w:rPr>
                <w:rFonts w:ascii="Times New Roman" w:hAnsi="Times New Roman" w:cs="Times New Roman"/>
              </w:rPr>
              <w:t>)</w:t>
            </w:r>
          </w:p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Pravilnik o financiranju javnih potreba Općine </w:t>
            </w:r>
            <w:r w:rsidR="000035EC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0035EC">
              <w:rPr>
                <w:rFonts w:ascii="Times New Roman" w:hAnsi="Times New Roman" w:cs="Times New Roman"/>
              </w:rPr>
              <w:t>Općine Posedarje04/18)</w:t>
            </w:r>
          </w:p>
          <w:p w:rsidR="006D6C67" w:rsidRPr="00E60E9C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90DD1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sportu (</w:t>
            </w:r>
            <w:r w:rsidRPr="00E60E9C">
              <w:rPr>
                <w:rFonts w:ascii="Times New Roman" w:hAnsi="Times New Roman" w:cs="Times New Roman"/>
              </w:rPr>
              <w:t>NN 71/06, 150/08, 124/10, 124/11, 86/12, 94/13, 85/15, 19/16, 98/19</w:t>
            </w:r>
            <w:r w:rsidR="00B57AFC">
              <w:rPr>
                <w:rFonts w:ascii="Times New Roman" w:hAnsi="Times New Roman" w:cs="Times New Roman"/>
              </w:rPr>
              <w:t xml:space="preserve"> 77/20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D6C67" w:rsidRPr="003E5B3D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Default="006D6C67" w:rsidP="00B42A8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A101001 Financiranje sportskih udruga</w:t>
            </w:r>
          </w:p>
          <w:p w:rsidR="000035EC" w:rsidRDefault="000035EC" w:rsidP="00B42A8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K101002 Izgradnja sportskih objekata</w:t>
            </w:r>
          </w:p>
          <w:p w:rsidR="006D6C67" w:rsidRPr="003E5B3D" w:rsidRDefault="006D6C67" w:rsidP="00B42A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67" w:rsidRPr="00181858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3D105A" w:rsidRDefault="000035EC" w:rsidP="000035EC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Programom Razvoj sporta i rekreacije potiče se amaterski sport te promiče sport kao zdrav i poželjan način života. Ovim programom omogućava se djeci i mladima jednostavan ulazak u sustav sporta te se osiguravaju osnovni preduvjeti kako bi se bavili sportom što duže. </w:t>
            </w:r>
          </w:p>
          <w:p w:rsidR="000035EC" w:rsidRPr="003D105A" w:rsidRDefault="000035EC" w:rsidP="000035EC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:rsidR="006D6C67" w:rsidRPr="00181858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C67" w:rsidRPr="00181858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Pr="00181858" w:rsidRDefault="006D6C67" w:rsidP="00B42A83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57AFC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0035EC">
              <w:rPr>
                <w:rFonts w:ascii="Times New Roman" w:hAnsi="Times New Roman" w:cs="Times New Roman"/>
              </w:rPr>
              <w:t xml:space="preserve"> </w:t>
            </w:r>
            <w:r w:rsidR="00B57AFC">
              <w:rPr>
                <w:rFonts w:ascii="Times New Roman" w:hAnsi="Times New Roman" w:cs="Times New Roman"/>
              </w:rPr>
              <w:t>1.195.000,00</w:t>
            </w:r>
          </w:p>
          <w:p w:rsidR="006D6C67" w:rsidRPr="00181858" w:rsidRDefault="00B57AFC" w:rsidP="00B42A83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6D6C67" w:rsidRPr="00181858">
              <w:rPr>
                <w:rFonts w:ascii="Times New Roman" w:hAnsi="Times New Roman" w:cs="Times New Roman"/>
              </w:rPr>
              <w:t>. godin</w:t>
            </w:r>
            <w:r>
              <w:rPr>
                <w:rFonts w:ascii="Times New Roman" w:hAnsi="Times New Roman" w:cs="Times New Roman"/>
              </w:rPr>
              <w:t>a =</w:t>
            </w:r>
            <w:r w:rsidR="006D6C67" w:rsidRPr="001818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1.100.000,00</w:t>
            </w:r>
          </w:p>
          <w:p w:rsidR="006D6C67" w:rsidRPr="00181858" w:rsidRDefault="006D6C67" w:rsidP="00B57AF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57AFC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B57AFC">
              <w:rPr>
                <w:rFonts w:ascii="Times New Roman" w:hAnsi="Times New Roman" w:cs="Times New Roman"/>
              </w:rPr>
              <w:t xml:space="preserve"> 1.215.000,00</w:t>
            </w:r>
          </w:p>
        </w:tc>
      </w:tr>
      <w:tr w:rsidR="006D6C67" w:rsidRPr="00AF10A5" w:rsidTr="000035EC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Pr="00E60E9C" w:rsidRDefault="006D6C67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60E9C">
              <w:rPr>
                <w:rFonts w:ascii="Times New Roman" w:eastAsia="Calibri" w:hAnsi="Times New Roman" w:cs="Times New Roman"/>
                <w:sz w:val="24"/>
                <w:szCs w:val="24"/>
              </w:rPr>
              <w:t>roj aktivnih klubova, broj djece i mladih u sportskim aktivnostima i klubovima, broj utakmica i organiziranih  natjecanja, broj nagrada, te postizanje sportskih rezultata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kao i promicanje Općine </w:t>
            </w:r>
            <w:r w:rsidR="000035EC">
              <w:rPr>
                <w:rFonts w:ascii="Times New Roman" w:hAnsi="Times New Roman" w:cs="Times New Roman"/>
                <w:sz w:val="24"/>
                <w:szCs w:val="24"/>
              </w:rPr>
              <w:t>Posedarje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kroz sportska natjecanja i sportske klubove.</w:t>
            </w:r>
          </w:p>
        </w:tc>
      </w:tr>
    </w:tbl>
    <w:p w:rsidR="000B55C8" w:rsidRDefault="000B55C8" w:rsidP="001C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E9C" w:rsidRPr="00EA0C4D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E9C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EA0C4D">
        <w:rPr>
          <w:rFonts w:ascii="Times New Roman" w:hAnsi="Times New Roman" w:cs="Times New Roman"/>
          <w:b/>
          <w:sz w:val="24"/>
          <w:szCs w:val="24"/>
        </w:rPr>
        <w:t>Javne potrebe u školstvu</w:t>
      </w:r>
      <w:r w:rsidRPr="00EA0C4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57AFC">
        <w:rPr>
          <w:rFonts w:ascii="Times New Roman" w:hAnsi="Times New Roman" w:cs="Times New Roman"/>
          <w:sz w:val="24"/>
          <w:szCs w:val="24"/>
        </w:rPr>
        <w:t>488.000,00 kuna.</w:t>
      </w:r>
      <w:r w:rsidR="000035EC" w:rsidRPr="000035E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0035EC" w:rsidRPr="003D105A">
        <w:rPr>
          <w:rFonts w:ascii="Times New Roman" w:eastAsia="Calibri" w:hAnsi="Times New Roman" w:cs="Times New Roman"/>
          <w:noProof/>
          <w:sz w:val="24"/>
          <w:szCs w:val="24"/>
        </w:rPr>
        <w:t>Unutar Programa osigurana su sredstva za financiranje širih javnih potreba kroz programe za poboljšanje standarda u sustavu obrazovanja.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AFC" w:rsidRDefault="00B57AF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5"/>
        <w:gridCol w:w="7563"/>
      </w:tblGrid>
      <w:tr w:rsidR="008629AC" w:rsidRPr="00181858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531AF5" w:rsidRDefault="00531AF5" w:rsidP="000035EC">
            <w:pPr>
              <w:jc w:val="both"/>
              <w:rPr>
                <w:rFonts w:ascii="Times New Roman" w:hAnsi="Times New Roman" w:cs="Times New Roman"/>
              </w:rPr>
            </w:pPr>
          </w:p>
          <w:p w:rsidR="00B57AFC" w:rsidRPr="00181858" w:rsidRDefault="00531AF5" w:rsidP="00531A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8629AC" w:rsidRPr="00E60E9C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AC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Default="008629AC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8629AC" w:rsidRDefault="008629AC" w:rsidP="008629A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Zakon o odgoju i obrazovanju u osnovnoj i srednjoj školi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629AC">
              <w:rPr>
                <w:rFonts w:ascii="Times New Roman" w:hAnsi="Times New Roman" w:cs="Times New Roman"/>
              </w:rPr>
              <w:t>NN 87/08, 86/09, 92/10, 105/10, 90/11, 5/12, 16/12, 86/12, 126/12, 94/13, 152/14, 07/17, 68/18, 98/19</w:t>
            </w:r>
            <w:r w:rsidR="00531AF5">
              <w:rPr>
                <w:rFonts w:ascii="Times New Roman" w:hAnsi="Times New Roman" w:cs="Times New Roman"/>
              </w:rPr>
              <w:t>, 64/20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629AC" w:rsidRDefault="008629AC" w:rsidP="008629A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Pravilnik o stipendiranju i odobravanju drugih oblika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9AC">
              <w:rPr>
                <w:rFonts w:ascii="Times New Roman" w:hAnsi="Times New Roman" w:cs="Times New Roman"/>
              </w:rPr>
              <w:t xml:space="preserve">potpore učenicima i studentima u Općini </w:t>
            </w:r>
            <w:r w:rsidR="000035EC">
              <w:rPr>
                <w:rFonts w:ascii="Times New Roman" w:hAnsi="Times New Roman" w:cs="Times New Roman"/>
              </w:rPr>
              <w:t>Posedarje</w:t>
            </w:r>
            <w:r w:rsidR="002A2378">
              <w:rPr>
                <w:rFonts w:ascii="Times New Roman" w:hAnsi="Times New Roman" w:cs="Times New Roman"/>
              </w:rPr>
              <w:t xml:space="preserve"> (Službeni glasnik </w:t>
            </w:r>
            <w:r w:rsidR="000035EC">
              <w:rPr>
                <w:rFonts w:ascii="Times New Roman" w:hAnsi="Times New Roman" w:cs="Times New Roman"/>
              </w:rPr>
              <w:t>Općine Posedarje</w:t>
            </w:r>
            <w:r w:rsidR="002A2378">
              <w:rPr>
                <w:rFonts w:ascii="Times New Roman" w:hAnsi="Times New Roman" w:cs="Times New Roman"/>
              </w:rPr>
              <w:t xml:space="preserve"> </w:t>
            </w:r>
            <w:r w:rsidR="000035EC">
              <w:rPr>
                <w:rFonts w:ascii="Times New Roman" w:hAnsi="Times New Roman" w:cs="Times New Roman"/>
              </w:rPr>
              <w:t>01/00)</w:t>
            </w:r>
          </w:p>
          <w:p w:rsidR="008629AC" w:rsidRPr="008629AC" w:rsidRDefault="008629AC" w:rsidP="000035E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Odluka o kriterijima i načinu financiranja troškova javnog prijevoza redovitih učenika srednjih škola za školsku godinu 20</w:t>
            </w:r>
            <w:r w:rsidR="000035EC">
              <w:rPr>
                <w:rFonts w:ascii="Times New Roman" w:hAnsi="Times New Roman" w:cs="Times New Roman"/>
              </w:rPr>
              <w:t>20</w:t>
            </w:r>
            <w:r w:rsidRPr="008629AC">
              <w:rPr>
                <w:rFonts w:ascii="Times New Roman" w:hAnsi="Times New Roman" w:cs="Times New Roman"/>
              </w:rPr>
              <w:t>/202</w:t>
            </w:r>
            <w:r w:rsidR="000035EC">
              <w:rPr>
                <w:rFonts w:ascii="Times New Roman" w:hAnsi="Times New Roman" w:cs="Times New Roman"/>
              </w:rPr>
              <w:t>1</w:t>
            </w:r>
            <w:r w:rsidRPr="008629AC">
              <w:rPr>
                <w:rFonts w:ascii="Times New Roman" w:hAnsi="Times New Roman" w:cs="Times New Roman"/>
              </w:rPr>
              <w:t>.</w:t>
            </w:r>
          </w:p>
        </w:tc>
      </w:tr>
      <w:tr w:rsidR="008629AC" w:rsidRPr="003E5B3D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Default="008629AC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A101101 Osnovno, srednjoškolsko i visoko obrazovanje</w:t>
            </w:r>
          </w:p>
          <w:p w:rsidR="008629AC" w:rsidRPr="008629AC" w:rsidRDefault="008629AC" w:rsidP="00531AF5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29AC" w:rsidRPr="00181858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Pr="00181858" w:rsidRDefault="008629A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Dodjela stipendija studentima; Osiguravanja radnih materijala učenicima osnovne škole; Osiguravanja besplatnog prijevoza učenicima srednje škole.</w:t>
            </w:r>
          </w:p>
        </w:tc>
      </w:tr>
      <w:tr w:rsidR="008629AC" w:rsidRPr="00181858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Pr="00181858" w:rsidRDefault="008629AC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531AF5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531AF5">
              <w:rPr>
                <w:rFonts w:ascii="Times New Roman" w:hAnsi="Times New Roman" w:cs="Times New Roman"/>
              </w:rPr>
              <w:t>488.000,00</w:t>
            </w:r>
          </w:p>
          <w:p w:rsidR="000035EC" w:rsidRPr="000035EC" w:rsidRDefault="008629AC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 w:rsidR="00531AF5">
              <w:rPr>
                <w:rFonts w:ascii="Times New Roman" w:hAnsi="Times New Roman" w:cs="Times New Roman"/>
              </w:rPr>
              <w:t>488.000,00</w:t>
            </w:r>
          </w:p>
          <w:p w:rsidR="008629AC" w:rsidRPr="00181858" w:rsidRDefault="008629AC" w:rsidP="00531AF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AF5" w:rsidRPr="00531AF5">
              <w:rPr>
                <w:rFonts w:ascii="Times New Roman" w:hAnsi="Times New Roman" w:cs="Times New Roman"/>
              </w:rPr>
              <w:t>488.000,00</w:t>
            </w:r>
          </w:p>
        </w:tc>
      </w:tr>
      <w:tr w:rsidR="008629AC" w:rsidRPr="00E60E9C" w:rsidTr="000035EC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Pr="00E60E9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stipendija; </w:t>
            </w:r>
            <w:r w:rsidR="00BA7361"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radnih materijala; Broj subvencija prijevoza učenicima srednje škole; Uspješno stjecanje srednjoškolskog i akademskog obrazovanja za što veći broj djece i mladih; </w:t>
            </w:r>
          </w:p>
        </w:tc>
      </w:tr>
    </w:tbl>
    <w:p w:rsidR="00E60E9C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E9C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2A2378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378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5EC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Održavanje objekata u vlasništvu Općine Posedarje </w:t>
      </w:r>
      <w:r w:rsidRPr="000035EC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531AF5">
        <w:rPr>
          <w:rFonts w:ascii="Times New Roman" w:hAnsi="Times New Roman" w:cs="Times New Roman"/>
          <w:sz w:val="24"/>
          <w:szCs w:val="24"/>
        </w:rPr>
        <w:t>395.000,00</w:t>
      </w:r>
      <w:r w:rsidRPr="000035EC">
        <w:rPr>
          <w:rFonts w:ascii="Times New Roman" w:hAnsi="Times New Roman" w:cs="Times New Roman"/>
          <w:sz w:val="24"/>
          <w:szCs w:val="24"/>
        </w:rPr>
        <w:t xml:space="preserve"> kuna a obuhvaća troškove održavanje općinskih  objekata koji nisu obuhvaćeni ostalim programima i aktivnostima.</w:t>
      </w:r>
    </w:p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0035EC" w:rsidRPr="0018185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  Održavanje općinskih objekata u vlasništvu Općine Posedarje</w:t>
            </w:r>
          </w:p>
        </w:tc>
      </w:tr>
      <w:tr w:rsidR="000035EC" w:rsidRPr="00D02DC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CD196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gradnji (</w:t>
            </w:r>
            <w:r w:rsidRPr="00722287">
              <w:rPr>
                <w:rFonts w:ascii="Times New Roman" w:hAnsi="Times New Roman" w:cs="Times New Roman"/>
              </w:rPr>
              <w:t>NN 153/13, 20/17, 39/19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35EC" w:rsidRDefault="000035EC" w:rsidP="00CD196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35EC" w:rsidRPr="00EB35B1" w:rsidRDefault="000035EC" w:rsidP="00CD196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B35B1">
              <w:rPr>
                <w:rFonts w:ascii="Times New Roman" w:hAnsi="Times New Roman" w:cs="Times New Roman"/>
              </w:rPr>
              <w:t>Zakon o poslovima i djelatnostima prostornog uređenja i gradnje</w:t>
            </w:r>
            <w:r>
              <w:rPr>
                <w:rFonts w:ascii="Times New Roman" w:hAnsi="Times New Roman" w:cs="Times New Roman"/>
              </w:rPr>
              <w:t xml:space="preserve"> (NN 78/15, 118/18)</w:t>
            </w:r>
          </w:p>
        </w:tc>
      </w:tr>
      <w:tr w:rsidR="000035EC" w:rsidRPr="004F7510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A101601 Održavanje objekata u vlasništvu Općine </w:t>
            </w:r>
          </w:p>
          <w:p w:rsidR="000035EC" w:rsidRPr="003471D7" w:rsidRDefault="000035EC" w:rsidP="000035EC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35EC" w:rsidRPr="0018185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Pr="00181858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općinskih objekata u urednom stanju; Uređenje općinskih objekata.</w:t>
            </w:r>
          </w:p>
        </w:tc>
      </w:tr>
      <w:tr w:rsidR="000035EC" w:rsidRPr="0018185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181858" w:rsidRDefault="000035EC" w:rsidP="00CD196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740F2B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="00740F2B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.000,00</w:t>
            </w:r>
          </w:p>
          <w:p w:rsidR="000035EC" w:rsidRPr="00181858" w:rsidRDefault="000035EC" w:rsidP="00CD196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740F2B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3</w:t>
            </w:r>
            <w:r w:rsidR="00740F2B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.000,00</w:t>
            </w:r>
          </w:p>
          <w:p w:rsidR="000035EC" w:rsidRPr="00181858" w:rsidRDefault="000035EC" w:rsidP="00740F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740F2B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F2B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Pr="00740F2B">
              <w:rPr>
                <w:rFonts w:ascii="Times New Roman" w:hAnsi="Times New Roman" w:cs="Times New Roman"/>
              </w:rPr>
              <w:t>.000,00</w:t>
            </w:r>
          </w:p>
        </w:tc>
      </w:tr>
      <w:tr w:rsidR="000035EC" w:rsidRPr="00AF10A5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AF10A5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održavanje objekata u vlasništvu Općine Posedarje.</w:t>
            </w:r>
          </w:p>
        </w:tc>
      </w:tr>
    </w:tbl>
    <w:p w:rsidR="000035EC" w:rsidRP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2A2378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361" w:rsidRPr="00EA0C4D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0035EC">
        <w:rPr>
          <w:rFonts w:ascii="Times New Roman" w:hAnsi="Times New Roman" w:cs="Times New Roman"/>
          <w:b/>
          <w:sz w:val="24"/>
          <w:szCs w:val="24"/>
        </w:rPr>
        <w:t>javne potrebe u školstvu</w:t>
      </w:r>
      <w:r w:rsidRPr="00EA0C4D">
        <w:rPr>
          <w:rFonts w:ascii="Times New Roman" w:hAnsi="Times New Roman" w:cs="Times New Roman"/>
          <w:sz w:val="24"/>
          <w:szCs w:val="24"/>
        </w:rPr>
        <w:t xml:space="preserve"> sadrži rashodovnu stranu financijskog plana</w:t>
      </w:r>
      <w:r w:rsidR="00BA7361">
        <w:rPr>
          <w:rFonts w:ascii="Times New Roman" w:hAnsi="Times New Roman" w:cs="Times New Roman"/>
          <w:sz w:val="24"/>
          <w:szCs w:val="24"/>
        </w:rPr>
        <w:t xml:space="preserve"> proračunskog korisnika 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0035EC">
        <w:rPr>
          <w:rFonts w:ascii="Times New Roman" w:hAnsi="Times New Roman" w:cs="Times New Roman"/>
          <w:sz w:val="24"/>
          <w:szCs w:val="24"/>
        </w:rPr>
        <w:t xml:space="preserve">Dječji vrtić Cvrčak Posedarje </w:t>
      </w:r>
      <w:r w:rsidR="00740F2B">
        <w:rPr>
          <w:rFonts w:ascii="Times New Roman" w:hAnsi="Times New Roman" w:cs="Times New Roman"/>
          <w:sz w:val="24"/>
          <w:szCs w:val="24"/>
        </w:rPr>
        <w:t>2.074.000,00 kuna</w:t>
      </w:r>
      <w:r w:rsidR="000035EC">
        <w:rPr>
          <w:rFonts w:ascii="Times New Roman" w:hAnsi="Times New Roman" w:cs="Times New Roman"/>
          <w:sz w:val="24"/>
          <w:szCs w:val="24"/>
        </w:rPr>
        <w:t>.</w:t>
      </w:r>
      <w:r w:rsidR="00BA7361">
        <w:rPr>
          <w:rFonts w:ascii="Times New Roman" w:hAnsi="Times New Roman" w:cs="Times New Roman"/>
          <w:sz w:val="24"/>
          <w:szCs w:val="24"/>
        </w:rPr>
        <w:t xml:space="preserve">, od čega Općina </w:t>
      </w:r>
      <w:r w:rsidR="000035EC">
        <w:rPr>
          <w:rFonts w:ascii="Times New Roman" w:hAnsi="Times New Roman" w:cs="Times New Roman"/>
          <w:sz w:val="24"/>
          <w:szCs w:val="24"/>
        </w:rPr>
        <w:t xml:space="preserve">Posedarje </w:t>
      </w:r>
      <w:r w:rsidR="00BA7361">
        <w:rPr>
          <w:rFonts w:ascii="Times New Roman" w:hAnsi="Times New Roman" w:cs="Times New Roman"/>
          <w:sz w:val="24"/>
          <w:szCs w:val="24"/>
        </w:rPr>
        <w:t xml:space="preserve">financira </w:t>
      </w:r>
      <w:r w:rsidR="00740F2B">
        <w:rPr>
          <w:rFonts w:ascii="Times New Roman" w:hAnsi="Times New Roman" w:cs="Times New Roman"/>
          <w:sz w:val="24"/>
          <w:szCs w:val="24"/>
        </w:rPr>
        <w:lastRenderedPageBreak/>
        <w:t>1.630.000,00 kuna</w:t>
      </w:r>
      <w:r w:rsidR="00BA7361">
        <w:rPr>
          <w:rFonts w:ascii="Times New Roman" w:hAnsi="Times New Roman" w:cs="Times New Roman"/>
          <w:sz w:val="24"/>
          <w:szCs w:val="24"/>
        </w:rPr>
        <w:t xml:space="preserve"> dok ostatak financira sam D</w:t>
      </w:r>
      <w:r w:rsidR="000035EC">
        <w:rPr>
          <w:rFonts w:ascii="Times New Roman" w:hAnsi="Times New Roman" w:cs="Times New Roman"/>
          <w:sz w:val="24"/>
          <w:szCs w:val="24"/>
        </w:rPr>
        <w:t xml:space="preserve">ječji vrtić Cvrčak Posedarje iz svog proračuna i to u iznosu od </w:t>
      </w:r>
      <w:r w:rsidR="00740F2B">
        <w:rPr>
          <w:rFonts w:ascii="Times New Roman" w:hAnsi="Times New Roman" w:cs="Times New Roman"/>
          <w:sz w:val="24"/>
          <w:szCs w:val="24"/>
        </w:rPr>
        <w:t>444.000,00 kuna.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2"/>
        <w:gridCol w:w="7566"/>
      </w:tblGrid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BA7361" w:rsidRPr="00BA7361" w:rsidRDefault="00BA7361" w:rsidP="00BA7361">
            <w:pPr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eastAsia="Calibri" w:hAnsi="Times New Roman" w:cs="Times New Roman"/>
                <w:sz w:val="24"/>
                <w:szCs w:val="24"/>
              </w:rPr>
              <w:t>Zakon o pred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 xml:space="preserve">školskom odgoju i obrazovanju (NN </w:t>
            </w:r>
            <w:r w:rsidRPr="00BA7361">
              <w:rPr>
                <w:rFonts w:ascii="Times New Roman" w:eastAsia="Calibri" w:hAnsi="Times New Roman" w:cs="Times New Roman"/>
                <w:sz w:val="24"/>
                <w:szCs w:val="24"/>
              </w:rPr>
              <w:t>10/97,107/07,94/13)</w:t>
            </w: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8629AC" w:rsidRDefault="00BA7361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A101102 Financiranje Dječjeg vrtića Cvrčak posedarje</w:t>
            </w: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181858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Sufinancirati djelatnost predškolskog odgoja i obrazovanja radi što većeg obuhvata djece predškolskim programima i što kvalitetnijeg provođenja programa.</w:t>
            </w: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181858" w:rsidRDefault="00BA7361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740F2B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0F2B">
              <w:rPr>
                <w:rFonts w:ascii="Times New Roman" w:hAnsi="Times New Roman" w:cs="Times New Roman"/>
              </w:rPr>
              <w:t>2.074.000,00</w:t>
            </w:r>
          </w:p>
          <w:p w:rsidR="000035EC" w:rsidRPr="000035EC" w:rsidRDefault="00740F2B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A7361" w:rsidRPr="001818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2.114.000,00</w:t>
            </w:r>
          </w:p>
          <w:p w:rsidR="00BA7361" w:rsidRPr="00181858" w:rsidRDefault="000035EC" w:rsidP="00740F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0F2B">
              <w:rPr>
                <w:rFonts w:ascii="Times New Roman" w:hAnsi="Times New Roman" w:cs="Times New Roman"/>
              </w:rPr>
              <w:t>023</w:t>
            </w:r>
            <w:r w:rsidR="00BA7361" w:rsidRPr="00181858">
              <w:rPr>
                <w:rFonts w:ascii="Times New Roman" w:hAnsi="Times New Roman" w:cs="Times New Roman"/>
              </w:rPr>
              <w:t>. godina =</w:t>
            </w:r>
            <w:r w:rsidR="00BA7361"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F2B" w:rsidRPr="00740F2B">
              <w:rPr>
                <w:rFonts w:ascii="Times New Roman" w:hAnsi="Times New Roman" w:cs="Times New Roman"/>
              </w:rPr>
              <w:t>2.144.000,00</w:t>
            </w:r>
          </w:p>
        </w:tc>
      </w:tr>
      <w:tr w:rsidR="00BA7361" w:rsidRPr="00E60E9C" w:rsidTr="000035EC">
        <w:trPr>
          <w:trHeight w:val="695"/>
        </w:trPr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E60E9C" w:rsidRDefault="00BA7361" w:rsidP="008C5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B7183">
              <w:rPr>
                <w:rFonts w:ascii="Times New Roman" w:hAnsi="Times New Roman" w:cs="Times New Roman"/>
                <w:sz w:val="24"/>
                <w:szCs w:val="24"/>
              </w:rPr>
              <w:t>roj upisane djece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 xml:space="preserve"> uz poštivanje propisima određenih standarda, </w:t>
            </w:r>
            <w:r w:rsidR="008C5F3F">
              <w:rPr>
                <w:rFonts w:ascii="Times New Roman" w:hAnsi="Times New Roman" w:cs="Times New Roman"/>
                <w:sz w:val="24"/>
                <w:szCs w:val="24"/>
              </w:rPr>
              <w:t>kroz kvalitetne</w:t>
            </w:r>
            <w:r w:rsidR="001B7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8C5F3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 xml:space="preserve"> koji se provode u vrtić</w:t>
            </w:r>
            <w:r w:rsidR="008C5F3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704DC" w:rsidRPr="00EA0C4D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2A237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361" w:rsidRDefault="00740F2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F2B">
        <w:rPr>
          <w:rFonts w:ascii="Times New Roman" w:hAnsi="Times New Roman" w:cs="Times New Roman"/>
          <w:b/>
          <w:sz w:val="24"/>
          <w:szCs w:val="24"/>
        </w:rPr>
        <w:t>Općinski program socijalne zaštite</w:t>
      </w:r>
      <w:r>
        <w:rPr>
          <w:rFonts w:ascii="Times New Roman" w:hAnsi="Times New Roman" w:cs="Times New Roman"/>
          <w:sz w:val="24"/>
          <w:szCs w:val="24"/>
        </w:rPr>
        <w:t xml:space="preserve"> planiran je </w:t>
      </w:r>
      <w:r w:rsidR="00A704DC" w:rsidRPr="00EA0C4D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255.200,00 kuna</w:t>
      </w:r>
      <w:r w:rsidR="00A704DC" w:rsidRPr="00EA0C4D">
        <w:rPr>
          <w:rFonts w:ascii="Times New Roman" w:hAnsi="Times New Roman" w:cs="Times New Roman"/>
          <w:sz w:val="24"/>
          <w:szCs w:val="24"/>
        </w:rPr>
        <w:t xml:space="preserve"> odnosi se na sredstva naknada građanima i kućanstvu, naknada roditeljima novorođene djece, sufinanciranje troška dječjeg vrtića za djecu s posebnim potrebama, te sufinanciranje prijevoza  </w:t>
      </w:r>
      <w:r w:rsidR="000035EC">
        <w:rPr>
          <w:rFonts w:ascii="Times New Roman" w:hAnsi="Times New Roman" w:cs="Times New Roman"/>
          <w:sz w:val="24"/>
          <w:szCs w:val="24"/>
        </w:rPr>
        <w:t>djece u isti vrtić.</w:t>
      </w:r>
    </w:p>
    <w:p w:rsidR="00BA7361" w:rsidRDefault="00BA736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BA7361" w:rsidRPr="00181858" w:rsidTr="000035EC">
        <w:trPr>
          <w:trHeight w:val="502"/>
        </w:trPr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  <w:r w:rsidR="00BA73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Općinski program socijalne skrbi</w:t>
            </w: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BA7361" w:rsidRDefault="00BA7361" w:rsidP="00BA736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A7361">
              <w:rPr>
                <w:rFonts w:ascii="Times New Roman" w:hAnsi="Times New Roman" w:cs="Times New Roman"/>
              </w:rPr>
              <w:t>Zakon o socijalnoj skrbi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A7361">
              <w:rPr>
                <w:rFonts w:ascii="Times New Roman" w:hAnsi="Times New Roman" w:cs="Times New Roman"/>
              </w:rPr>
              <w:t>NN 157/13, 152/14, 99/15, 52/16, 16/17, 130/17,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A7361" w:rsidRPr="002A2378" w:rsidRDefault="00BA7361" w:rsidP="002A237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socijalnoj skrbi Općine </w:t>
            </w:r>
            <w:r w:rsidR="000035EC">
              <w:rPr>
                <w:rFonts w:ascii="Times New Roman" w:hAnsi="Times New Roman" w:cs="Times New Roman"/>
              </w:rPr>
              <w:t xml:space="preserve">Posedarje </w:t>
            </w:r>
            <w:r w:rsidR="002A2378">
              <w:rPr>
                <w:rFonts w:ascii="Times New Roman" w:hAnsi="Times New Roman" w:cs="Times New Roman"/>
              </w:rPr>
              <w:t>(</w:t>
            </w:r>
            <w:r w:rsidR="002A2378"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0035EC">
              <w:rPr>
                <w:rFonts w:ascii="Times New Roman" w:hAnsi="Times New Roman" w:cs="Times New Roman"/>
              </w:rPr>
              <w:t>Posedarje</w:t>
            </w:r>
            <w:r w:rsidR="002A2378" w:rsidRPr="00181858">
              <w:rPr>
                <w:rFonts w:ascii="Times New Roman" w:hAnsi="Times New Roman" w:cs="Times New Roman"/>
              </w:rPr>
              <w:t xml:space="preserve"> </w:t>
            </w:r>
            <w:r w:rsidR="002A2378">
              <w:rPr>
                <w:rFonts w:ascii="Times New Roman" w:hAnsi="Times New Roman" w:cs="Times New Roman"/>
              </w:rPr>
              <w:t xml:space="preserve"> </w:t>
            </w:r>
            <w:r w:rsidR="000035EC">
              <w:rPr>
                <w:rFonts w:ascii="Times New Roman" w:hAnsi="Times New Roman" w:cs="Times New Roman"/>
              </w:rPr>
              <w:t>01/</w:t>
            </w:r>
            <w:r w:rsidR="002A2378">
              <w:rPr>
                <w:rFonts w:ascii="Times New Roman" w:hAnsi="Times New Roman" w:cs="Times New Roman"/>
              </w:rPr>
              <w:t>16)</w:t>
            </w:r>
          </w:p>
          <w:p w:rsidR="00BA7361" w:rsidRPr="00BA7361" w:rsidRDefault="00BA7361" w:rsidP="000035EC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5EC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Opis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035EC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aktivnosti)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A101201</w:t>
            </w:r>
            <w:r>
              <w:rPr>
                <w:rFonts w:ascii="Times New Roman" w:hAnsi="Times New Roman" w:cs="Times New Roman"/>
              </w:rPr>
              <w:t xml:space="preserve"> Naknade građanima i kućanstvima</w:t>
            </w:r>
          </w:p>
          <w:p w:rsidR="00BA7361" w:rsidRPr="000035EC" w:rsidRDefault="00BA7361" w:rsidP="000035EC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181858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Povećanje osnovnih životnih uvjeta socijalno ugroženim obiteljima i kućanstvima</w:t>
            </w:r>
            <w:r w:rsidR="00730C2F">
              <w:rPr>
                <w:rFonts w:ascii="Times New Roman" w:hAnsi="Times New Roman" w:cs="Times New Roman"/>
                <w:sz w:val="24"/>
                <w:szCs w:val="24"/>
              </w:rPr>
              <w:t>; Povećanje zadovoljstva stanovništ</w:t>
            </w:r>
            <w:r w:rsidR="000035E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30C2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181858" w:rsidRDefault="00740F2B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A7361"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>255.200,00</w:t>
            </w:r>
          </w:p>
          <w:p w:rsidR="00BA7361" w:rsidRPr="00181858" w:rsidRDefault="00740F2B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A7361" w:rsidRPr="001818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246.200,00</w:t>
            </w:r>
            <w:r w:rsidR="008C5F3F" w:rsidRPr="00181858">
              <w:rPr>
                <w:rFonts w:ascii="Times New Roman" w:hAnsi="Times New Roman" w:cs="Times New Roman"/>
              </w:rPr>
              <w:t xml:space="preserve"> </w:t>
            </w:r>
          </w:p>
          <w:p w:rsidR="00BA7361" w:rsidRPr="00181858" w:rsidRDefault="00740F2B" w:rsidP="00740F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A7361" w:rsidRPr="0018185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="00BA7361" w:rsidRPr="00181858">
              <w:rPr>
                <w:rFonts w:ascii="Times New Roman" w:hAnsi="Times New Roman" w:cs="Times New Roman"/>
              </w:rPr>
              <w:t xml:space="preserve">. godina </w:t>
            </w:r>
            <w:r>
              <w:rPr>
                <w:rFonts w:ascii="Times New Roman" w:hAnsi="Times New Roman" w:cs="Times New Roman"/>
              </w:rPr>
              <w:t>253.000,00</w:t>
            </w:r>
          </w:p>
        </w:tc>
      </w:tr>
      <w:tr w:rsidR="00BA7361" w:rsidRPr="00E60E9C" w:rsidTr="000035EC">
        <w:trPr>
          <w:trHeight w:val="569"/>
        </w:trPr>
        <w:tc>
          <w:tcPr>
            <w:tcW w:w="2093" w:type="dxa"/>
            <w:shd w:val="clear" w:color="auto" w:fill="9CC2E5" w:themeFill="accent1" w:themeFillTint="99"/>
          </w:tcPr>
          <w:p w:rsidR="00BA7361" w:rsidRPr="00730C2F" w:rsidRDefault="00BA7361" w:rsidP="0073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</w:t>
            </w:r>
            <w:r w:rsidR="00730C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Pr="00E60E9C" w:rsidRDefault="00730C2F" w:rsidP="0073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Isplata naknada prema programu socijalne zaštite. </w:t>
            </w:r>
          </w:p>
        </w:tc>
      </w:tr>
    </w:tbl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="000035EC" w:rsidRPr="000035EC">
        <w:rPr>
          <w:rFonts w:ascii="Times New Roman" w:hAnsi="Times New Roman" w:cs="Times New Roman"/>
          <w:b/>
          <w:sz w:val="24"/>
          <w:szCs w:val="24"/>
        </w:rPr>
        <w:t>Djelatnost vlastitog komunalnog pogona</w:t>
      </w:r>
      <w:r w:rsidR="000035EC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740F2B">
        <w:rPr>
          <w:rFonts w:ascii="Times New Roman" w:hAnsi="Times New Roman" w:cs="Times New Roman"/>
          <w:sz w:val="24"/>
          <w:szCs w:val="24"/>
        </w:rPr>
        <w:t>1.346.000,00</w:t>
      </w:r>
      <w:r w:rsidR="000035EC">
        <w:rPr>
          <w:rFonts w:ascii="Times New Roman" w:hAnsi="Times New Roman" w:cs="Times New Roman"/>
          <w:sz w:val="24"/>
          <w:szCs w:val="24"/>
        </w:rPr>
        <w:t xml:space="preserve"> ku</w:t>
      </w:r>
      <w:r w:rsidR="00740F2B">
        <w:rPr>
          <w:rFonts w:ascii="Times New Roman" w:hAnsi="Times New Roman" w:cs="Times New Roman"/>
          <w:sz w:val="24"/>
          <w:szCs w:val="24"/>
        </w:rPr>
        <w:t>na</w:t>
      </w:r>
      <w:r w:rsidR="000035EC">
        <w:rPr>
          <w:rFonts w:ascii="Times New Roman" w:hAnsi="Times New Roman" w:cs="Times New Roman"/>
          <w:sz w:val="24"/>
          <w:szCs w:val="24"/>
        </w:rPr>
        <w:t>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EC" w:rsidRDefault="000035EC" w:rsidP="000035EC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3D105A">
        <w:rPr>
          <w:rFonts w:ascii="Times New Roman" w:eastAsia="Calibri" w:hAnsi="Times New Roman" w:cs="Times New Roman"/>
          <w:sz w:val="24"/>
        </w:rPr>
        <w:t xml:space="preserve">Vlastiti pogon Općine </w:t>
      </w:r>
      <w:r>
        <w:rPr>
          <w:rFonts w:ascii="Times New Roman" w:eastAsia="Calibri" w:hAnsi="Times New Roman" w:cs="Times New Roman"/>
          <w:sz w:val="24"/>
        </w:rPr>
        <w:t xml:space="preserve">Posedarje </w:t>
      </w:r>
      <w:r w:rsidRPr="003D105A">
        <w:rPr>
          <w:rFonts w:ascii="Times New Roman" w:eastAsia="Calibri" w:hAnsi="Times New Roman" w:cs="Times New Roman"/>
          <w:sz w:val="24"/>
        </w:rPr>
        <w:t xml:space="preserve"> osnovan je 201</w:t>
      </w:r>
      <w:r>
        <w:rPr>
          <w:rFonts w:ascii="Times New Roman" w:eastAsia="Calibri" w:hAnsi="Times New Roman" w:cs="Times New Roman"/>
          <w:sz w:val="24"/>
        </w:rPr>
        <w:t>8</w:t>
      </w:r>
      <w:r w:rsidRPr="003D105A">
        <w:rPr>
          <w:rFonts w:ascii="Times New Roman" w:eastAsia="Calibri" w:hAnsi="Times New Roman" w:cs="Times New Roman"/>
          <w:sz w:val="24"/>
        </w:rPr>
        <w:t xml:space="preserve">. godine za obavljanje komunalnih djelatnosti </w:t>
      </w:r>
      <w:r>
        <w:rPr>
          <w:rFonts w:ascii="Times New Roman" w:eastAsia="Calibri" w:hAnsi="Times New Roman" w:cs="Times New Roman"/>
          <w:sz w:val="24"/>
        </w:rPr>
        <w:t>i to:</w:t>
      </w:r>
    </w:p>
    <w:p w:rsidR="000035EC" w:rsidRPr="00740F2B" w:rsidRDefault="000035EC" w:rsidP="000035E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40F2B">
        <w:rPr>
          <w:rFonts w:ascii="Times New Roman" w:hAnsi="Times New Roman" w:cs="Times New Roman"/>
          <w:sz w:val="24"/>
          <w:szCs w:val="24"/>
        </w:rPr>
        <w:t>-održavanje nerazvrstanih cesta</w:t>
      </w:r>
    </w:p>
    <w:p w:rsidR="000035EC" w:rsidRPr="00740F2B" w:rsidRDefault="000035EC" w:rsidP="000035E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40F2B">
        <w:rPr>
          <w:rFonts w:ascii="Times New Roman" w:hAnsi="Times New Roman" w:cs="Times New Roman"/>
          <w:sz w:val="24"/>
          <w:szCs w:val="24"/>
        </w:rPr>
        <w:t>- održavanje javnih površina na kojima nije dopušten promet motornih vozila</w:t>
      </w:r>
    </w:p>
    <w:p w:rsidR="000035EC" w:rsidRPr="00740F2B" w:rsidRDefault="000035EC" w:rsidP="000035E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40F2B">
        <w:rPr>
          <w:rFonts w:ascii="Times New Roman" w:hAnsi="Times New Roman" w:cs="Times New Roman"/>
          <w:sz w:val="24"/>
          <w:szCs w:val="24"/>
        </w:rPr>
        <w:t>- održavanje građevina javne odvodnje oborinskih voda</w:t>
      </w:r>
    </w:p>
    <w:p w:rsidR="000035EC" w:rsidRDefault="000035EC" w:rsidP="000035EC">
      <w:pPr>
        <w:pStyle w:val="Bezproreda"/>
      </w:pPr>
      <w:r>
        <w:lastRenderedPageBreak/>
        <w:t>- održavanje javnih zelenih površina</w:t>
      </w:r>
    </w:p>
    <w:p w:rsidR="000035EC" w:rsidRDefault="000035EC" w:rsidP="000035EC">
      <w:pPr>
        <w:pStyle w:val="Bezproreda"/>
        <w:tabs>
          <w:tab w:val="left" w:pos="6060"/>
        </w:tabs>
      </w:pPr>
      <w:r>
        <w:t>- održavanje građevina, uređaja i predmeta javne namjene</w:t>
      </w:r>
      <w:r>
        <w:tab/>
      </w:r>
    </w:p>
    <w:p w:rsidR="000035EC" w:rsidRDefault="000035EC" w:rsidP="000035EC">
      <w:pPr>
        <w:pStyle w:val="Bezproreda"/>
        <w:tabs>
          <w:tab w:val="left" w:pos="6060"/>
        </w:tabs>
      </w:pPr>
      <w:r>
        <w:t>- održavanje groblja i krematorija unutar groblja</w:t>
      </w:r>
    </w:p>
    <w:p w:rsidR="000035EC" w:rsidRDefault="000035EC" w:rsidP="000035EC">
      <w:pPr>
        <w:pStyle w:val="Bezproreda"/>
      </w:pPr>
    </w:p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730C2F" w:rsidRPr="00181858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 Djelatnost vlastitog komunalnog pogona</w:t>
            </w:r>
          </w:p>
        </w:tc>
      </w:tr>
      <w:tr w:rsidR="00730C2F" w:rsidRPr="00BA7361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Default="00C70414" w:rsidP="00C70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Default="00730C2F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C32676" w:rsidRPr="00D6016F" w:rsidRDefault="000035EC" w:rsidP="00D6016F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osnivanju vlastitog komunalnog pogona (Službeni glasnik Općine Posedarje 14/18)</w:t>
            </w:r>
          </w:p>
        </w:tc>
      </w:tr>
      <w:tr w:rsidR="00730C2F" w:rsidRPr="008629AC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Default="00730C2F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A101501 Redoviti rad vlastitog komunalnog pogona</w:t>
            </w:r>
          </w:p>
          <w:p w:rsidR="000035EC" w:rsidRPr="00C32676" w:rsidRDefault="000035EC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K101501 Opremanje vlastitog komunalnog pogona</w:t>
            </w:r>
          </w:p>
        </w:tc>
      </w:tr>
      <w:tr w:rsidR="00730C2F" w:rsidRPr="00181858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3D105A" w:rsidRDefault="000035EC" w:rsidP="000035EC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Cilj programa je osigurati sredstva za plaće djelatnika i ostalih materijalnih troškova nužnih za nesmetano obavlj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anje poslova iz svog djelokruga; Osigurati sredstva za nabavu materijala koji je potreban za redovito obavljanje poslova iz nadležnosti pogona; Osigurati sredstva za nabavku opreme za redovito funkcioniranje pogona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30C2F" w:rsidRPr="00C32676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2F" w:rsidRPr="00181858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Pr="00181858" w:rsidRDefault="00730C2F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C70414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70414">
              <w:rPr>
                <w:rFonts w:ascii="Times New Roman" w:hAnsi="Times New Roman" w:cs="Times New Roman"/>
              </w:rPr>
              <w:t>1.346.900,00</w:t>
            </w:r>
          </w:p>
          <w:p w:rsidR="00730C2F" w:rsidRPr="00181858" w:rsidRDefault="00730C2F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C70414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C70414">
              <w:rPr>
                <w:rFonts w:ascii="Times New Roman" w:hAnsi="Times New Roman" w:cs="Times New Roman"/>
              </w:rPr>
              <w:t>1.398.900,00</w:t>
            </w:r>
          </w:p>
          <w:p w:rsidR="00730C2F" w:rsidRPr="00181858" w:rsidRDefault="00730C2F" w:rsidP="00C7041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C70414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C70414" w:rsidRPr="00C70414">
              <w:rPr>
                <w:rFonts w:ascii="Times New Roman" w:hAnsi="Times New Roman" w:cs="Times New Roman"/>
              </w:rPr>
              <w:t>1.207.900,00</w:t>
            </w:r>
            <w:bookmarkEnd w:id="0"/>
          </w:p>
        </w:tc>
      </w:tr>
      <w:tr w:rsidR="000035EC" w:rsidRPr="00E60E9C" w:rsidTr="00CD1967">
        <w:trPr>
          <w:trHeight w:val="694"/>
        </w:trPr>
        <w:tc>
          <w:tcPr>
            <w:tcW w:w="2093" w:type="dxa"/>
            <w:shd w:val="clear" w:color="auto" w:fill="9CC2E5" w:themeFill="accent1" w:themeFillTint="99"/>
          </w:tcPr>
          <w:p w:rsidR="000035EC" w:rsidRPr="00730C2F" w:rsidRDefault="000035E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  <w:vAlign w:val="center"/>
          </w:tcPr>
          <w:p w:rsidR="000035EC" w:rsidRPr="003D105A" w:rsidRDefault="000035EC" w:rsidP="00CD1967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Racionalno financiranje rashoda za zaposlene u skladu sa  zakonom, propisima i internim aktima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I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spunjenje preduvjeta za redovno obavljanje poslova iz djelokruga rada kroz osiguranje sredstava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Nabavom nove opreme stvorit će se uvjeti za kvalitetniji rad Vlastitog pogona.</w:t>
            </w:r>
          </w:p>
        </w:tc>
      </w:tr>
    </w:tbl>
    <w:p w:rsidR="002A2378" w:rsidRDefault="002A2378" w:rsidP="00C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48C" w:rsidRPr="00C33EDC" w:rsidRDefault="00A5348C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48C" w:rsidRPr="00C33EDC" w:rsidSect="00BF460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EF" w:rsidRDefault="001441EF" w:rsidP="00FB12FB">
      <w:pPr>
        <w:spacing w:after="0" w:line="240" w:lineRule="auto"/>
      </w:pPr>
      <w:r>
        <w:separator/>
      </w:r>
    </w:p>
  </w:endnote>
  <w:endnote w:type="continuationSeparator" w:id="0">
    <w:p w:rsidR="001441EF" w:rsidRDefault="001441EF" w:rsidP="00FB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hnschrift SemiBold SemiConden">
    <w:altName w:val="Segoe UI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EF" w:rsidRDefault="001441EF" w:rsidP="00FB12FB">
      <w:pPr>
        <w:spacing w:after="0" w:line="240" w:lineRule="auto"/>
      </w:pPr>
      <w:r>
        <w:separator/>
      </w:r>
    </w:p>
  </w:footnote>
  <w:footnote w:type="continuationSeparator" w:id="0">
    <w:p w:rsidR="001441EF" w:rsidRDefault="001441EF" w:rsidP="00FB1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AE6"/>
    <w:multiLevelType w:val="hybridMultilevel"/>
    <w:tmpl w:val="8E0C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364E"/>
    <w:multiLevelType w:val="hybridMultilevel"/>
    <w:tmpl w:val="17BE2DF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1039A"/>
    <w:multiLevelType w:val="hybridMultilevel"/>
    <w:tmpl w:val="B91AA0F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11B0"/>
    <w:multiLevelType w:val="hybridMultilevel"/>
    <w:tmpl w:val="892835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C73162"/>
    <w:multiLevelType w:val="hybridMultilevel"/>
    <w:tmpl w:val="293E7A60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4326"/>
    <w:multiLevelType w:val="hybridMultilevel"/>
    <w:tmpl w:val="802ED8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897A15"/>
    <w:multiLevelType w:val="multilevel"/>
    <w:tmpl w:val="9FF63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949D6"/>
    <w:multiLevelType w:val="hybridMultilevel"/>
    <w:tmpl w:val="8FDC8D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5874AB"/>
    <w:multiLevelType w:val="hybridMultilevel"/>
    <w:tmpl w:val="25EC352C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33106"/>
    <w:multiLevelType w:val="multilevel"/>
    <w:tmpl w:val="D0943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881455"/>
    <w:multiLevelType w:val="hybridMultilevel"/>
    <w:tmpl w:val="0FD6F0CE"/>
    <w:lvl w:ilvl="0" w:tplc="9D80A33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072ED3"/>
    <w:multiLevelType w:val="hybridMultilevel"/>
    <w:tmpl w:val="2CBEB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F021F"/>
    <w:multiLevelType w:val="hybridMultilevel"/>
    <w:tmpl w:val="3DD0D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2B3A83"/>
    <w:multiLevelType w:val="hybridMultilevel"/>
    <w:tmpl w:val="B932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619BD"/>
    <w:multiLevelType w:val="hybridMultilevel"/>
    <w:tmpl w:val="44C6B146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2677"/>
    <w:multiLevelType w:val="hybridMultilevel"/>
    <w:tmpl w:val="5B1E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A3AD0"/>
    <w:multiLevelType w:val="hybridMultilevel"/>
    <w:tmpl w:val="0A6AD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C592528"/>
    <w:multiLevelType w:val="hybridMultilevel"/>
    <w:tmpl w:val="9A96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E09EE"/>
    <w:multiLevelType w:val="hybridMultilevel"/>
    <w:tmpl w:val="2EA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2F6C"/>
    <w:multiLevelType w:val="hybridMultilevel"/>
    <w:tmpl w:val="E10AE6C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F1508"/>
    <w:multiLevelType w:val="hybridMultilevel"/>
    <w:tmpl w:val="028882D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795968"/>
    <w:multiLevelType w:val="hybridMultilevel"/>
    <w:tmpl w:val="1BDE6C96"/>
    <w:lvl w:ilvl="0" w:tplc="FD12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931F3"/>
    <w:multiLevelType w:val="hybridMultilevel"/>
    <w:tmpl w:val="E5F2F5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6"/>
  </w:num>
  <w:num w:numId="5">
    <w:abstractNumId w:val="11"/>
  </w:num>
  <w:num w:numId="6">
    <w:abstractNumId w:val="3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16"/>
  </w:num>
  <w:num w:numId="12">
    <w:abstractNumId w:val="9"/>
  </w:num>
  <w:num w:numId="13">
    <w:abstractNumId w:val="20"/>
  </w:num>
  <w:num w:numId="14">
    <w:abstractNumId w:val="25"/>
  </w:num>
  <w:num w:numId="15">
    <w:abstractNumId w:val="21"/>
  </w:num>
  <w:num w:numId="16">
    <w:abstractNumId w:val="4"/>
  </w:num>
  <w:num w:numId="17">
    <w:abstractNumId w:val="23"/>
  </w:num>
  <w:num w:numId="18">
    <w:abstractNumId w:val="1"/>
  </w:num>
  <w:num w:numId="19">
    <w:abstractNumId w:val="15"/>
  </w:num>
  <w:num w:numId="20">
    <w:abstractNumId w:val="8"/>
  </w:num>
  <w:num w:numId="21">
    <w:abstractNumId w:val="12"/>
  </w:num>
  <w:num w:numId="22">
    <w:abstractNumId w:val="22"/>
  </w:num>
  <w:num w:numId="23">
    <w:abstractNumId w:val="2"/>
  </w:num>
  <w:num w:numId="24">
    <w:abstractNumId w:val="5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3"/>
    <w:rsid w:val="000035EC"/>
    <w:rsid w:val="00003675"/>
    <w:rsid w:val="00005D6E"/>
    <w:rsid w:val="00010B6A"/>
    <w:rsid w:val="000276DD"/>
    <w:rsid w:val="00036D59"/>
    <w:rsid w:val="00056F02"/>
    <w:rsid w:val="00070835"/>
    <w:rsid w:val="00081F19"/>
    <w:rsid w:val="00095199"/>
    <w:rsid w:val="000A5205"/>
    <w:rsid w:val="000B55C8"/>
    <w:rsid w:val="000C4F71"/>
    <w:rsid w:val="000C61FE"/>
    <w:rsid w:val="000D3AB9"/>
    <w:rsid w:val="000F332F"/>
    <w:rsid w:val="001077ED"/>
    <w:rsid w:val="00112256"/>
    <w:rsid w:val="00124EF1"/>
    <w:rsid w:val="001266FC"/>
    <w:rsid w:val="001441EF"/>
    <w:rsid w:val="00161F09"/>
    <w:rsid w:val="00163567"/>
    <w:rsid w:val="001746D9"/>
    <w:rsid w:val="001805BA"/>
    <w:rsid w:val="00181247"/>
    <w:rsid w:val="00181858"/>
    <w:rsid w:val="001837B7"/>
    <w:rsid w:val="001962CF"/>
    <w:rsid w:val="001A6CCB"/>
    <w:rsid w:val="001B7183"/>
    <w:rsid w:val="001C2B88"/>
    <w:rsid w:val="001C4FB4"/>
    <w:rsid w:val="001D01CC"/>
    <w:rsid w:val="001E63B0"/>
    <w:rsid w:val="00206468"/>
    <w:rsid w:val="002103AB"/>
    <w:rsid w:val="00222378"/>
    <w:rsid w:val="00223C96"/>
    <w:rsid w:val="0022527D"/>
    <w:rsid w:val="0023488F"/>
    <w:rsid w:val="002536DF"/>
    <w:rsid w:val="00265E92"/>
    <w:rsid w:val="002A2378"/>
    <w:rsid w:val="002C4688"/>
    <w:rsid w:val="002C5239"/>
    <w:rsid w:val="002D1C26"/>
    <w:rsid w:val="002F478B"/>
    <w:rsid w:val="002F75B0"/>
    <w:rsid w:val="00301C9D"/>
    <w:rsid w:val="00310CE9"/>
    <w:rsid w:val="00336A02"/>
    <w:rsid w:val="00341215"/>
    <w:rsid w:val="003471D7"/>
    <w:rsid w:val="00351370"/>
    <w:rsid w:val="0035377F"/>
    <w:rsid w:val="003876B2"/>
    <w:rsid w:val="00390E37"/>
    <w:rsid w:val="003A08EB"/>
    <w:rsid w:val="003A0B07"/>
    <w:rsid w:val="003B0C75"/>
    <w:rsid w:val="003B22C3"/>
    <w:rsid w:val="003C1A17"/>
    <w:rsid w:val="003C79DF"/>
    <w:rsid w:val="003D4B14"/>
    <w:rsid w:val="003D7C08"/>
    <w:rsid w:val="003E5B3D"/>
    <w:rsid w:val="00404F71"/>
    <w:rsid w:val="004226AB"/>
    <w:rsid w:val="00425E14"/>
    <w:rsid w:val="00443316"/>
    <w:rsid w:val="0044551B"/>
    <w:rsid w:val="0047401C"/>
    <w:rsid w:val="004756BE"/>
    <w:rsid w:val="004A128D"/>
    <w:rsid w:val="004A6B7F"/>
    <w:rsid w:val="004C04DE"/>
    <w:rsid w:val="004C642C"/>
    <w:rsid w:val="004C70C8"/>
    <w:rsid w:val="004D3265"/>
    <w:rsid w:val="004F03B0"/>
    <w:rsid w:val="004F7510"/>
    <w:rsid w:val="00500344"/>
    <w:rsid w:val="00502EAC"/>
    <w:rsid w:val="005073E0"/>
    <w:rsid w:val="005078C4"/>
    <w:rsid w:val="00531272"/>
    <w:rsid w:val="00531AF5"/>
    <w:rsid w:val="00537AA1"/>
    <w:rsid w:val="005423A0"/>
    <w:rsid w:val="0054463F"/>
    <w:rsid w:val="005548B5"/>
    <w:rsid w:val="0056331C"/>
    <w:rsid w:val="0057649E"/>
    <w:rsid w:val="00580E03"/>
    <w:rsid w:val="00582A2D"/>
    <w:rsid w:val="005A2863"/>
    <w:rsid w:val="005B4573"/>
    <w:rsid w:val="005E5140"/>
    <w:rsid w:val="005F257C"/>
    <w:rsid w:val="005F6ABD"/>
    <w:rsid w:val="00620A77"/>
    <w:rsid w:val="00632ACA"/>
    <w:rsid w:val="00653E75"/>
    <w:rsid w:val="006558F2"/>
    <w:rsid w:val="00684E34"/>
    <w:rsid w:val="006878C6"/>
    <w:rsid w:val="00696A2C"/>
    <w:rsid w:val="006C6747"/>
    <w:rsid w:val="006D6C67"/>
    <w:rsid w:val="006F0BD2"/>
    <w:rsid w:val="006F54BC"/>
    <w:rsid w:val="006F6330"/>
    <w:rsid w:val="006F7B4A"/>
    <w:rsid w:val="00710C52"/>
    <w:rsid w:val="00722287"/>
    <w:rsid w:val="007255E2"/>
    <w:rsid w:val="00730C2F"/>
    <w:rsid w:val="00736801"/>
    <w:rsid w:val="00740F2B"/>
    <w:rsid w:val="00746830"/>
    <w:rsid w:val="00760F94"/>
    <w:rsid w:val="00796E71"/>
    <w:rsid w:val="007B372A"/>
    <w:rsid w:val="007F7E3E"/>
    <w:rsid w:val="00802C1D"/>
    <w:rsid w:val="0080449E"/>
    <w:rsid w:val="00807EB2"/>
    <w:rsid w:val="00842398"/>
    <w:rsid w:val="0085047A"/>
    <w:rsid w:val="00857B9A"/>
    <w:rsid w:val="008629AC"/>
    <w:rsid w:val="00866D9E"/>
    <w:rsid w:val="00867E91"/>
    <w:rsid w:val="00895A1D"/>
    <w:rsid w:val="008A66D2"/>
    <w:rsid w:val="008B5291"/>
    <w:rsid w:val="008C5F3F"/>
    <w:rsid w:val="008D71CF"/>
    <w:rsid w:val="008E4D45"/>
    <w:rsid w:val="008F0B75"/>
    <w:rsid w:val="00932DCC"/>
    <w:rsid w:val="009874B8"/>
    <w:rsid w:val="00987780"/>
    <w:rsid w:val="00990DD1"/>
    <w:rsid w:val="00993B4B"/>
    <w:rsid w:val="00993D89"/>
    <w:rsid w:val="00994B95"/>
    <w:rsid w:val="009A42CF"/>
    <w:rsid w:val="009A7F3D"/>
    <w:rsid w:val="009B3D50"/>
    <w:rsid w:val="009C11FA"/>
    <w:rsid w:val="009D7068"/>
    <w:rsid w:val="009F490F"/>
    <w:rsid w:val="00A12B36"/>
    <w:rsid w:val="00A351E2"/>
    <w:rsid w:val="00A43AF7"/>
    <w:rsid w:val="00A5348C"/>
    <w:rsid w:val="00A66112"/>
    <w:rsid w:val="00A704DC"/>
    <w:rsid w:val="00A726BA"/>
    <w:rsid w:val="00A77E55"/>
    <w:rsid w:val="00A8414C"/>
    <w:rsid w:val="00A8519D"/>
    <w:rsid w:val="00A87CB4"/>
    <w:rsid w:val="00A9630F"/>
    <w:rsid w:val="00A9653E"/>
    <w:rsid w:val="00AA662F"/>
    <w:rsid w:val="00AA6FA2"/>
    <w:rsid w:val="00AC3392"/>
    <w:rsid w:val="00AD3B49"/>
    <w:rsid w:val="00AE399C"/>
    <w:rsid w:val="00AE3B72"/>
    <w:rsid w:val="00AF0658"/>
    <w:rsid w:val="00AF10A5"/>
    <w:rsid w:val="00AF17C8"/>
    <w:rsid w:val="00AF2515"/>
    <w:rsid w:val="00B03D22"/>
    <w:rsid w:val="00B261C4"/>
    <w:rsid w:val="00B32378"/>
    <w:rsid w:val="00B42A83"/>
    <w:rsid w:val="00B526FC"/>
    <w:rsid w:val="00B57AFC"/>
    <w:rsid w:val="00B823F4"/>
    <w:rsid w:val="00B843D4"/>
    <w:rsid w:val="00B8595A"/>
    <w:rsid w:val="00B86484"/>
    <w:rsid w:val="00BA4A36"/>
    <w:rsid w:val="00BA7361"/>
    <w:rsid w:val="00BA7C2A"/>
    <w:rsid w:val="00BC2F58"/>
    <w:rsid w:val="00BC59B6"/>
    <w:rsid w:val="00BD5CAC"/>
    <w:rsid w:val="00BE09B8"/>
    <w:rsid w:val="00BE22F0"/>
    <w:rsid w:val="00BE4EE9"/>
    <w:rsid w:val="00BE776E"/>
    <w:rsid w:val="00BF1A4F"/>
    <w:rsid w:val="00BF3D42"/>
    <w:rsid w:val="00BF460D"/>
    <w:rsid w:val="00C00094"/>
    <w:rsid w:val="00C16F21"/>
    <w:rsid w:val="00C24B72"/>
    <w:rsid w:val="00C26127"/>
    <w:rsid w:val="00C32676"/>
    <w:rsid w:val="00C33EDC"/>
    <w:rsid w:val="00C45392"/>
    <w:rsid w:val="00C70414"/>
    <w:rsid w:val="00C71A30"/>
    <w:rsid w:val="00C800B2"/>
    <w:rsid w:val="00C85475"/>
    <w:rsid w:val="00C903C3"/>
    <w:rsid w:val="00C97CA6"/>
    <w:rsid w:val="00CB1916"/>
    <w:rsid w:val="00CB30B0"/>
    <w:rsid w:val="00CB3555"/>
    <w:rsid w:val="00CD1967"/>
    <w:rsid w:val="00CD6552"/>
    <w:rsid w:val="00CE4F68"/>
    <w:rsid w:val="00D008FF"/>
    <w:rsid w:val="00D02DC8"/>
    <w:rsid w:val="00D243DC"/>
    <w:rsid w:val="00D24C8F"/>
    <w:rsid w:val="00D26864"/>
    <w:rsid w:val="00D52FB6"/>
    <w:rsid w:val="00D6016F"/>
    <w:rsid w:val="00D60F0F"/>
    <w:rsid w:val="00D73FFE"/>
    <w:rsid w:val="00D7514E"/>
    <w:rsid w:val="00D8103B"/>
    <w:rsid w:val="00D836E7"/>
    <w:rsid w:val="00DA4D3C"/>
    <w:rsid w:val="00DA5AD0"/>
    <w:rsid w:val="00DA774A"/>
    <w:rsid w:val="00DB52AC"/>
    <w:rsid w:val="00DB6C42"/>
    <w:rsid w:val="00DD03BB"/>
    <w:rsid w:val="00DE0840"/>
    <w:rsid w:val="00DE6C46"/>
    <w:rsid w:val="00E069E0"/>
    <w:rsid w:val="00E12163"/>
    <w:rsid w:val="00E24BF6"/>
    <w:rsid w:val="00E31545"/>
    <w:rsid w:val="00E52203"/>
    <w:rsid w:val="00E60E9C"/>
    <w:rsid w:val="00E67C2E"/>
    <w:rsid w:val="00E81235"/>
    <w:rsid w:val="00EB35B1"/>
    <w:rsid w:val="00EB6234"/>
    <w:rsid w:val="00EC0C09"/>
    <w:rsid w:val="00EC3AB1"/>
    <w:rsid w:val="00ED1638"/>
    <w:rsid w:val="00ED7995"/>
    <w:rsid w:val="00EE0145"/>
    <w:rsid w:val="00EE3E2F"/>
    <w:rsid w:val="00EF62E3"/>
    <w:rsid w:val="00F019A8"/>
    <w:rsid w:val="00F13EE3"/>
    <w:rsid w:val="00F26D28"/>
    <w:rsid w:val="00F3127D"/>
    <w:rsid w:val="00F42569"/>
    <w:rsid w:val="00F43C20"/>
    <w:rsid w:val="00F4497C"/>
    <w:rsid w:val="00F5251B"/>
    <w:rsid w:val="00F56600"/>
    <w:rsid w:val="00F613B4"/>
    <w:rsid w:val="00F959A2"/>
    <w:rsid w:val="00F97307"/>
    <w:rsid w:val="00FB12FB"/>
    <w:rsid w:val="00FB1DDF"/>
    <w:rsid w:val="00FC1218"/>
    <w:rsid w:val="00FD152C"/>
    <w:rsid w:val="00FD35BA"/>
    <w:rsid w:val="00FD5E4F"/>
    <w:rsid w:val="00FE1A08"/>
    <w:rsid w:val="00FE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B765"/>
  <w15:docId w15:val="{08806FA8-8265-41BE-8C3D-135633E8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EE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Bezproreda">
    <w:name w:val="No Spacing"/>
    <w:uiPriority w:val="1"/>
    <w:qFormat/>
    <w:rsid w:val="00010B6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D7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unhideWhenUsed/>
    <w:rsid w:val="0044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6F633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80E0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FB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12FB"/>
  </w:style>
  <w:style w:type="paragraph" w:styleId="Podnoje">
    <w:name w:val="footer"/>
    <w:basedOn w:val="Normal"/>
    <w:link w:val="PodnojeChar"/>
    <w:uiPriority w:val="99"/>
    <w:semiHidden/>
    <w:unhideWhenUsed/>
    <w:rsid w:val="00FB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F13A-B929-4C05-BAC4-6F2FA18E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20</Pages>
  <Words>7669</Words>
  <Characters>43715</Characters>
  <Application>Microsoft Office Word</Application>
  <DocSecurity>0</DocSecurity>
  <Lines>364</Lines>
  <Paragraphs>102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Korisnik</cp:lastModifiedBy>
  <cp:revision>6</cp:revision>
  <cp:lastPrinted>2019-12-11T10:44:00Z</cp:lastPrinted>
  <dcterms:created xsi:type="dcterms:W3CDTF">2020-11-25T11:37:00Z</dcterms:created>
  <dcterms:modified xsi:type="dcterms:W3CDTF">2020-12-01T12:10:00Z</dcterms:modified>
</cp:coreProperties>
</file>