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690235" w:rsidRPr="0035331D" w:rsidRDefault="00690235" w:rsidP="0069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235" w:rsidRPr="0035331D" w:rsidRDefault="00690235" w:rsidP="0069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235" w:rsidRPr="0035331D" w:rsidRDefault="00690235" w:rsidP="0069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235" w:rsidRPr="0035331D" w:rsidRDefault="00690235" w:rsidP="00690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>OBRAZLOŽENJ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PRIJEDLOGA </w:t>
      </w: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IZVJEŠTAJA O IZVRŠENJU </w:t>
      </w: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>PLANA PRORAČUNA ZA RAZDOBLJE OD 01.01. DO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1.12.2025.GODINE.</w:t>
      </w:r>
    </w:p>
    <w:p w:rsidR="00690235" w:rsidRPr="0035331D" w:rsidRDefault="00690235" w:rsidP="00690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F75" w:rsidRDefault="00E30F75" w:rsidP="00690235">
      <w:pPr>
        <w:pStyle w:val="NoSpacing"/>
        <w:shd w:val="clear" w:color="auto" w:fill="FFFFFF" w:themeFill="background1"/>
        <w:rPr>
          <w:b/>
          <w:i w:val="0"/>
          <w:color w:val="FFFFFF" w:themeColor="background1"/>
        </w:rPr>
      </w:pPr>
    </w:p>
    <w:p w:rsidR="00690235" w:rsidRPr="00690235" w:rsidRDefault="00690235" w:rsidP="00690235">
      <w:pPr>
        <w:pStyle w:val="NoSpacing"/>
        <w:shd w:val="clear" w:color="auto" w:fill="FFFFFF" w:themeFill="background1"/>
        <w:rPr>
          <w:b/>
          <w:i w:val="0"/>
          <w:color w:val="FFFFFF" w:themeColor="background1"/>
        </w:rPr>
      </w:pPr>
    </w:p>
    <w:p w:rsidR="00E30F75" w:rsidRDefault="00E30F75" w:rsidP="002E2D53">
      <w:pPr>
        <w:pStyle w:val="NoSpacing"/>
        <w:rPr>
          <w:b/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E30F75">
      <w:pPr>
        <w:pStyle w:val="NoSpacing"/>
        <w:jc w:val="both"/>
        <w:rPr>
          <w:i w:val="0"/>
        </w:rPr>
      </w:pPr>
    </w:p>
    <w:p w:rsidR="00690235" w:rsidRDefault="00690235" w:rsidP="00690235">
      <w:pPr>
        <w:pStyle w:val="NoSpacing"/>
        <w:shd w:val="clear" w:color="auto" w:fill="FFC000"/>
        <w:rPr>
          <w:b/>
          <w:i w:val="0"/>
        </w:rPr>
      </w:pPr>
      <w:r>
        <w:rPr>
          <w:b/>
          <w:i w:val="0"/>
        </w:rPr>
        <w:lastRenderedPageBreak/>
        <w:t>3</w:t>
      </w:r>
      <w:r>
        <w:rPr>
          <w:b/>
          <w:i w:val="0"/>
        </w:rPr>
        <w:t>. OBRAZLOŽ</w:t>
      </w:r>
      <w:r>
        <w:rPr>
          <w:b/>
          <w:i w:val="0"/>
        </w:rPr>
        <w:t>ENJE IZVRŠENJA PLANA PRORAČUNA ZA RAZDOBLJE OD 01.01. DO 31.12.2025. GODINE</w:t>
      </w:r>
    </w:p>
    <w:p w:rsidR="00690235" w:rsidRDefault="00690235" w:rsidP="00E30F75">
      <w:pPr>
        <w:pStyle w:val="NoSpacing"/>
        <w:jc w:val="both"/>
        <w:rPr>
          <w:i w:val="0"/>
        </w:rPr>
      </w:pP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Obrazloženje godišnjeg izvještaja o izvršenju plana proračuna sastoji se od obrazloženja općeg dijela proračuna i obrazloženja posebnog dijela proračuna. Obrazloženje općeg dijela izvršenja proračuna jedinice lokalne i pdoruč</w:t>
      </w:r>
      <w:bookmarkStart w:id="0" w:name="_GoBack"/>
      <w:bookmarkEnd w:id="0"/>
      <w:r>
        <w:rPr>
          <w:i w:val="0"/>
        </w:rPr>
        <w:t>ne (regionalne) samouprave sadrži: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zl</w:t>
      </w:r>
      <w:r>
        <w:rPr>
          <w:i w:val="0"/>
        </w:rPr>
        <w:t>oženje ostvarenja prihoda i rashoda, primitaka i izdataka, te prikaza ostvarenog manjka odnosno viška proračuna jedinice lokalne i područne (regionalne ) samouprave u izvještajnom razdoblju.</w:t>
      </w:r>
    </w:p>
    <w:p w:rsidR="00E30F75" w:rsidRDefault="00E30F75" w:rsidP="00E30F75">
      <w:pPr>
        <w:pStyle w:val="NoSpacing"/>
        <w:jc w:val="both"/>
        <w:rPr>
          <w:i w:val="0"/>
        </w:rPr>
      </w:pPr>
      <w:r>
        <w:rPr>
          <w:i w:val="0"/>
        </w:rPr>
        <w:t>Obra</w:t>
      </w:r>
      <w:r w:rsidR="009B5830">
        <w:rPr>
          <w:i w:val="0"/>
        </w:rPr>
        <w:t>z</w:t>
      </w:r>
      <w:r>
        <w:rPr>
          <w:i w:val="0"/>
        </w:rPr>
        <w:t>loženje posebnog dijela izvještaja o izvršenju plana proračuna temelji se na obrazloženju proračuna i financijskog plana proračunskog korisnika, a sadrži obrazloženje izvršenja programa koji se daje kroz obrazloženje izvršenja aktivnosti i tekućih i kapitalnih projekata zajedno s ciljevima koji koji su ostvareni provedbom programa i pokazateljima uspješnosti tearlizacije tih ciljeva koji se sasoje od pokazatelja učinka o pokazatelja rezultata.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Default="00BD31C5" w:rsidP="00BD31C5">
      <w:pPr>
        <w:pStyle w:val="NoSpacing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BD31C5" w:rsidRDefault="00BD31C5" w:rsidP="00E30F75">
      <w:pPr>
        <w:pStyle w:val="NoSpacing"/>
        <w:jc w:val="both"/>
        <w:rPr>
          <w:i w:val="0"/>
        </w:rPr>
      </w:pPr>
    </w:p>
    <w:p w:rsidR="00BD31C5" w:rsidRPr="0045438B" w:rsidRDefault="00BD31C5" w:rsidP="0045438B">
      <w:pPr>
        <w:pStyle w:val="NoSpacing"/>
        <w:shd w:val="clear" w:color="auto" w:fill="FFFF00"/>
        <w:jc w:val="both"/>
        <w:rPr>
          <w:b/>
          <w:i w:val="0"/>
        </w:rPr>
      </w:pPr>
      <w:r w:rsidRPr="0045438B">
        <w:rPr>
          <w:b/>
          <w:i w:val="0"/>
          <w:highlight w:val="yellow"/>
        </w:rPr>
        <w:t>Obrazloženje općeg dijela: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općeg dijela izvršenja plana proračuna jedinice lokalne i područne (regionalne) samouprave sadrži:</w:t>
      </w:r>
    </w:p>
    <w:p w:rsidR="00BD31C5" w:rsidRDefault="00BD31C5" w:rsidP="00E30F75">
      <w:pPr>
        <w:pStyle w:val="NoSpacing"/>
        <w:jc w:val="both"/>
        <w:rPr>
          <w:i w:val="0"/>
        </w:rPr>
      </w:pPr>
      <w:r>
        <w:rPr>
          <w:i w:val="0"/>
        </w:rPr>
        <w:t>obrazloženje ostvarenja prihoda i rashoda, primitaka i izdataka u izvještajnom razdoblju te ostvarenog manjka odnosno viška proračuna jedinice lokalne i područne (regionalne) samouprave u izvještajnom razdoblju.</w:t>
      </w:r>
    </w:p>
    <w:p w:rsidR="0045438B" w:rsidRDefault="0045438B" w:rsidP="00E30F75">
      <w:pPr>
        <w:pStyle w:val="NoSpacing"/>
        <w:jc w:val="both"/>
        <w:rPr>
          <w:i w:val="0"/>
        </w:rPr>
      </w:pPr>
    </w:p>
    <w:p w:rsidR="0045438B" w:rsidRDefault="0045438B" w:rsidP="00E30F75">
      <w:pPr>
        <w:pStyle w:val="NoSpacing"/>
        <w:jc w:val="both"/>
        <w:rPr>
          <w:b/>
          <w:i w:val="0"/>
        </w:rPr>
      </w:pPr>
      <w:r w:rsidRPr="0045438B">
        <w:rPr>
          <w:b/>
          <w:i w:val="0"/>
        </w:rPr>
        <w:t>3.1. Prihodi i primici</w:t>
      </w:r>
    </w:p>
    <w:p w:rsidR="0045438B" w:rsidRDefault="0045438B" w:rsidP="00E30F75">
      <w:pPr>
        <w:pStyle w:val="NoSpacing"/>
        <w:jc w:val="both"/>
        <w:rPr>
          <w:b/>
          <w:i w:val="0"/>
        </w:rPr>
      </w:pPr>
    </w:p>
    <w:p w:rsidR="0045438B" w:rsidRPr="00944E56" w:rsidRDefault="0045438B" w:rsidP="0045438B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45438B" w:rsidRPr="00944E56" w:rsidRDefault="0045438B" w:rsidP="0045438B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</w:t>
      </w:r>
      <w:r w:rsidR="00A5269E">
        <w:rPr>
          <w:i/>
          <w:szCs w:val="24"/>
        </w:rPr>
        <w:t>4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</w:t>
      </w:r>
      <w:r w:rsidR="00A5269E">
        <w:rPr>
          <w:i/>
          <w:szCs w:val="24"/>
        </w:rPr>
        <w:t>5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45438B" w:rsidRPr="007C5DF9" w:rsidTr="00D85C15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C3104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3104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C3104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 202</w:t>
            </w:r>
            <w:r w:rsidR="00C3104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C3104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3104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438B" w:rsidRPr="007C5DF9" w:rsidRDefault="0045438B" w:rsidP="00D85C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38B" w:rsidRPr="007C5DF9" w:rsidRDefault="0045438B" w:rsidP="00D85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4547FB" w:rsidP="00502C15">
            <w:pPr>
              <w:jc w:val="right"/>
            </w:pPr>
            <w:r>
              <w:t>1.807.745,86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2.796.065,00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2.038.652,44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112,77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72,91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4547FB" w:rsidP="00502C15">
            <w:pPr>
              <w:jc w:val="right"/>
            </w:pPr>
            <w:r>
              <w:t>615.924,00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1.581.261,00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724.988,49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45,85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4547FB" w:rsidP="00502C15">
            <w:pPr>
              <w:jc w:val="right"/>
            </w:pPr>
            <w:r>
              <w:t>74.091,89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74.536,00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4547FB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</w:t>
            </w:r>
            <w:r w:rsidR="00FD7B20">
              <w:rPr>
                <w:rFonts w:ascii="Arial" w:hAnsi="Arial" w:cs="Arial"/>
                <w:sz w:val="18"/>
                <w:szCs w:val="18"/>
              </w:rPr>
              <w:t>522,63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122,18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121,45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admin.pristojbi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FD7B20" w:rsidP="00502C15">
            <w:pPr>
              <w:jc w:val="right"/>
            </w:pPr>
            <w:r>
              <w:t>651.236,10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847.932,00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634.517,01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97,43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74,83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FD7B20" w:rsidP="00502C15">
            <w:pPr>
              <w:jc w:val="right"/>
            </w:pPr>
            <w:r>
              <w:t>10.620,78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15.141,51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142,56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73,84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5769" w:rsidRPr="00953E74" w:rsidRDefault="00FD7B20" w:rsidP="00502C15">
            <w:pPr>
              <w:jc w:val="right"/>
            </w:pPr>
            <w:r>
              <w:t>6.060,04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502C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7.394,51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122,02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357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113,76</w:t>
            </w:r>
          </w:p>
        </w:tc>
      </w:tr>
      <w:tr w:rsidR="00F35769" w:rsidRPr="007C5DF9" w:rsidTr="00A8794B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35769" w:rsidRPr="007C5DF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Default="00F35769" w:rsidP="00F357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35769" w:rsidRDefault="00FD7B20" w:rsidP="00FD7B20">
            <w:pPr>
              <w:spacing w:after="0" w:line="600" w:lineRule="auto"/>
              <w:jc w:val="center"/>
            </w:pPr>
            <w:r>
              <w:t>903.068,31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A8794B" w:rsidRDefault="00FD7B20" w:rsidP="00FD7B20">
            <w:pPr>
              <w:pStyle w:val="NoSpacing"/>
              <w:spacing w:line="600" w:lineRule="auto"/>
              <w:jc w:val="center"/>
              <w:rPr>
                <w:i w:val="0"/>
              </w:rPr>
            </w:pPr>
            <w:r>
              <w:rPr>
                <w:i w:val="0"/>
              </w:rPr>
              <w:t>2.696.500,00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D7B2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1.434.965,48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D7B2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158,90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35769" w:rsidRPr="007C5DF9" w:rsidRDefault="00FD7B20" w:rsidP="00FD7B2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53,22</w:t>
            </w:r>
          </w:p>
        </w:tc>
      </w:tr>
      <w:tr w:rsidR="0045438B" w:rsidRPr="007C5DF9" w:rsidTr="00D85C15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45438B" w:rsidP="00D85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FD7B20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4.068.746,98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FD7B20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8.023.300,00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FD7B20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4.946.182,07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FD7B20" w:rsidP="00D85C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121,57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38B" w:rsidRPr="007C5DF9" w:rsidRDefault="00FD7B20" w:rsidP="00FD7B2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61,65</w:t>
            </w:r>
          </w:p>
        </w:tc>
      </w:tr>
    </w:tbl>
    <w:p w:rsidR="0045438B" w:rsidRPr="0045438B" w:rsidRDefault="0045438B" w:rsidP="00E30F75">
      <w:pPr>
        <w:pStyle w:val="NoSpacing"/>
        <w:jc w:val="both"/>
        <w:rPr>
          <w:b/>
          <w:i w:val="0"/>
        </w:rPr>
      </w:pPr>
    </w:p>
    <w:p w:rsidR="00D85C15" w:rsidRPr="009A6903" w:rsidRDefault="00FD7B20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D85C15" w:rsidRPr="009A6903">
        <w:rPr>
          <w:b/>
          <w:i w:val="0"/>
        </w:rPr>
        <w:t>.1. Prihodi i primici</w:t>
      </w:r>
    </w:p>
    <w:p w:rsidR="00D85C15" w:rsidRDefault="00D85C1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</w:t>
      </w:r>
      <w:r>
        <w:rPr>
          <w:i w:val="0"/>
        </w:rPr>
        <w:t>2</w:t>
      </w:r>
      <w:r w:rsidR="000B343D">
        <w:rPr>
          <w:i w:val="0"/>
        </w:rPr>
        <w:t>5</w:t>
      </w:r>
      <w:r w:rsidRPr="007E22B5">
        <w:rPr>
          <w:i w:val="0"/>
        </w:rPr>
        <w:t xml:space="preserve">.g. ostvareni su u iznosu od </w:t>
      </w:r>
      <w:r w:rsidR="000B343D">
        <w:rPr>
          <w:i w:val="0"/>
        </w:rPr>
        <w:t>4.946.182,07</w:t>
      </w:r>
      <w:r>
        <w:rPr>
          <w:i w:val="0"/>
        </w:rPr>
        <w:t xml:space="preserve"> eura.</w:t>
      </w:r>
      <w:r w:rsidRPr="007E22B5">
        <w:rPr>
          <w:i w:val="0"/>
        </w:rPr>
        <w:t xml:space="preserve"> Prihodi poslovanja ostvareni su u iznosu od</w:t>
      </w:r>
      <w:r w:rsidR="00A8794B">
        <w:rPr>
          <w:i w:val="0"/>
        </w:rPr>
        <w:t xml:space="preserve"> </w:t>
      </w:r>
      <w:r w:rsidR="000B343D">
        <w:rPr>
          <w:i w:val="0"/>
        </w:rPr>
        <w:t>3.511.216,59</w:t>
      </w:r>
      <w:r>
        <w:rPr>
          <w:i w:val="0"/>
        </w:rPr>
        <w:t xml:space="preserve"> eura</w:t>
      </w:r>
      <w:r w:rsidRPr="007E22B5">
        <w:rPr>
          <w:i w:val="0"/>
        </w:rPr>
        <w:t xml:space="preserve"> a prihodi od prodaje nefinancijske imovine ostvareni su u iznosu od </w:t>
      </w:r>
      <w:r w:rsidR="000B343D">
        <w:rPr>
          <w:i w:val="0"/>
        </w:rPr>
        <w:t>1.434.965,48</w:t>
      </w:r>
      <w:r>
        <w:rPr>
          <w:i w:val="0"/>
        </w:rPr>
        <w:t xml:space="preserve"> eura.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>Indeks izvršenja prihoda poslovanja u odnosu na izvršenje 202</w:t>
      </w:r>
      <w:r w:rsidR="000B343D">
        <w:rPr>
          <w:i w:val="0"/>
        </w:rPr>
        <w:t>4</w:t>
      </w:r>
      <w:r>
        <w:rPr>
          <w:i w:val="0"/>
        </w:rPr>
        <w:t xml:space="preserve">. godine je </w:t>
      </w:r>
      <w:r w:rsidR="000B343D">
        <w:rPr>
          <w:i w:val="0"/>
        </w:rPr>
        <w:t>110,92</w:t>
      </w:r>
      <w:r>
        <w:rPr>
          <w:i w:val="0"/>
        </w:rPr>
        <w:t>%, a indeks izvršenja 202</w:t>
      </w:r>
      <w:r w:rsidR="000B343D">
        <w:rPr>
          <w:i w:val="0"/>
        </w:rPr>
        <w:t>5</w:t>
      </w:r>
      <w:r>
        <w:rPr>
          <w:i w:val="0"/>
        </w:rPr>
        <w:t>.godine u odnosu na planirane prihode 202</w:t>
      </w:r>
      <w:r w:rsidR="000B343D">
        <w:rPr>
          <w:i w:val="0"/>
        </w:rPr>
        <w:t>5</w:t>
      </w:r>
      <w:r>
        <w:rPr>
          <w:i w:val="0"/>
        </w:rPr>
        <w:t xml:space="preserve">. godine je </w:t>
      </w:r>
      <w:r w:rsidR="000B343D">
        <w:rPr>
          <w:i w:val="0"/>
        </w:rPr>
        <w:t>65,92</w:t>
      </w:r>
      <w:r>
        <w:rPr>
          <w:i w:val="0"/>
        </w:rPr>
        <w:t xml:space="preserve">%. 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>Prihodi od prodaje nefinancijske imovine 202</w:t>
      </w:r>
      <w:r w:rsidR="000B343D">
        <w:rPr>
          <w:i w:val="0"/>
        </w:rPr>
        <w:t>5</w:t>
      </w:r>
      <w:r>
        <w:rPr>
          <w:i w:val="0"/>
        </w:rPr>
        <w:t xml:space="preserve">. godine izvršene su u  </w:t>
      </w:r>
      <w:r w:rsidR="000B343D">
        <w:rPr>
          <w:i w:val="0"/>
        </w:rPr>
        <w:t>većem opsegu nego u 2024.</w:t>
      </w:r>
      <w:r w:rsidR="00502C15">
        <w:rPr>
          <w:i w:val="0"/>
        </w:rPr>
        <w:t xml:space="preserve"> </w:t>
      </w:r>
      <w:r w:rsidR="000B343D">
        <w:rPr>
          <w:i w:val="0"/>
        </w:rPr>
        <w:t>godine i indeks izvršenja je 158,90% a idneks izvršenje 2025.godine u odnosu na plan 2025.godine je 53,22%.</w:t>
      </w:r>
      <w:r w:rsidR="000B2144">
        <w:rPr>
          <w:i w:val="0"/>
        </w:rPr>
        <w:t xml:space="preserve"> </w:t>
      </w:r>
    </w:p>
    <w:p w:rsidR="000B2144" w:rsidRPr="007E22B5" w:rsidRDefault="000B2144" w:rsidP="00D85C15">
      <w:pPr>
        <w:pStyle w:val="NoSpacing"/>
        <w:jc w:val="both"/>
        <w:rPr>
          <w:i w:val="0"/>
        </w:rPr>
      </w:pPr>
    </w:p>
    <w:p w:rsidR="00D85C15" w:rsidRPr="007E22B5" w:rsidRDefault="00D85C15" w:rsidP="00D85C15">
      <w:pPr>
        <w:pStyle w:val="NoSpacing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</w:t>
      </w:r>
      <w:r w:rsidR="000B343D">
        <w:rPr>
          <w:rFonts w:ascii="Calibri" w:eastAsia="Times New Roman" w:hAnsi="Calibri" w:cs="Times New Roman"/>
          <w:i w:val="0"/>
        </w:rPr>
        <w:t>01.srpnja 2025.godine dječji vrtić Cvrčak Posedarje je u sustavu pune riznice tj. svi prihode i rahs</w:t>
      </w:r>
      <w:r w:rsidR="00502C15">
        <w:rPr>
          <w:rFonts w:ascii="Calibri" w:eastAsia="Times New Roman" w:hAnsi="Calibri" w:cs="Times New Roman"/>
          <w:i w:val="0"/>
        </w:rPr>
        <w:t>hodi</w:t>
      </w:r>
      <w:r w:rsidR="000B343D">
        <w:rPr>
          <w:rFonts w:ascii="Calibri" w:eastAsia="Times New Roman" w:hAnsi="Calibri" w:cs="Times New Roman"/>
          <w:i w:val="0"/>
        </w:rPr>
        <w:t xml:space="preserve"> dječji </w:t>
      </w:r>
      <w:r w:rsidR="00502C15">
        <w:rPr>
          <w:rFonts w:ascii="Calibri" w:eastAsia="Times New Roman" w:hAnsi="Calibri" w:cs="Times New Roman"/>
          <w:i w:val="0"/>
        </w:rPr>
        <w:t>vrtić</w:t>
      </w:r>
      <w:r w:rsidR="000B343D">
        <w:rPr>
          <w:rFonts w:ascii="Calibri" w:eastAsia="Times New Roman" w:hAnsi="Calibri" w:cs="Times New Roman"/>
          <w:i w:val="0"/>
        </w:rPr>
        <w:t xml:space="preserve"> ostvaruje preko jedinstvenog računa Općine Pose</w:t>
      </w:r>
      <w:r w:rsidR="00502C15">
        <w:rPr>
          <w:rFonts w:ascii="Calibri" w:eastAsia="Times New Roman" w:hAnsi="Calibri" w:cs="Times New Roman"/>
          <w:i w:val="0"/>
        </w:rPr>
        <w:t>darje.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Pr="007E22B5" w:rsidRDefault="000B343D" w:rsidP="00D85C15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D85C15" w:rsidRPr="007E22B5">
        <w:rPr>
          <w:b/>
          <w:i w:val="0"/>
        </w:rPr>
        <w:t xml:space="preserve">.1.1. Prihodi </w:t>
      </w:r>
      <w:r w:rsidR="00D85C15">
        <w:rPr>
          <w:b/>
          <w:i w:val="0"/>
        </w:rPr>
        <w:t>od poreza</w:t>
      </w:r>
      <w:r w:rsidR="00D85C15" w:rsidRPr="007E22B5">
        <w:rPr>
          <w:b/>
          <w:i w:val="0"/>
        </w:rPr>
        <w:t xml:space="preserve"> (grupa 61)</w:t>
      </w:r>
    </w:p>
    <w:p w:rsidR="00D85C15" w:rsidRDefault="00D85C15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Prihodi od poreza iznose </w:t>
      </w:r>
      <w:r w:rsidR="000B343D">
        <w:rPr>
          <w:i w:val="0"/>
        </w:rPr>
        <w:t>2.038.652,44</w:t>
      </w:r>
      <w:r w:rsidR="007F77B8">
        <w:rPr>
          <w:i w:val="0"/>
        </w:rPr>
        <w:t xml:space="preserve"> eura</w:t>
      </w:r>
      <w:r>
        <w:rPr>
          <w:i w:val="0"/>
        </w:rPr>
        <w:t>. Indeks izvršenja u odnosu na izvršenje 202</w:t>
      </w:r>
      <w:r w:rsidR="000B343D">
        <w:rPr>
          <w:i w:val="0"/>
        </w:rPr>
        <w:t>4</w:t>
      </w:r>
      <w:r>
        <w:rPr>
          <w:i w:val="0"/>
        </w:rPr>
        <w:t xml:space="preserve"> godine je </w:t>
      </w:r>
      <w:r w:rsidR="000B343D">
        <w:rPr>
          <w:i w:val="0"/>
        </w:rPr>
        <w:t>112,77</w:t>
      </w:r>
      <w:r w:rsidR="007F77B8">
        <w:rPr>
          <w:i w:val="0"/>
        </w:rPr>
        <w:t>% a indeks izvšenja u odnosu na plan 202</w:t>
      </w:r>
      <w:r w:rsidR="000B343D">
        <w:rPr>
          <w:i w:val="0"/>
        </w:rPr>
        <w:t>5</w:t>
      </w:r>
      <w:r w:rsidR="007F77B8">
        <w:rPr>
          <w:i w:val="0"/>
        </w:rPr>
        <w:t xml:space="preserve">. godine je </w:t>
      </w:r>
      <w:r w:rsidR="000B343D">
        <w:rPr>
          <w:i w:val="0"/>
        </w:rPr>
        <w:t>72,91</w:t>
      </w:r>
      <w:r w:rsidR="007F77B8">
        <w:rPr>
          <w:i w:val="0"/>
        </w:rPr>
        <w:t xml:space="preserve">%. </w:t>
      </w:r>
    </w:p>
    <w:p w:rsidR="000B2144" w:rsidRDefault="000B2144" w:rsidP="00D85C15">
      <w:pPr>
        <w:pStyle w:val="NoSpacing"/>
        <w:jc w:val="both"/>
        <w:rPr>
          <w:b/>
          <w:i w:val="0"/>
        </w:rPr>
      </w:pPr>
    </w:p>
    <w:p w:rsidR="00F35E9C" w:rsidRDefault="00D85C15" w:rsidP="000C2713">
      <w:pPr>
        <w:pStyle w:val="NoSpacing"/>
        <w:jc w:val="both"/>
        <w:rPr>
          <w:i w:val="0"/>
        </w:rPr>
      </w:pPr>
      <w:r w:rsidRPr="000C2713">
        <w:rPr>
          <w:b/>
          <w:i w:val="0"/>
        </w:rPr>
        <w:t xml:space="preserve">Pomoći iz inozemstva i od subjekata unutar opće države (grupa 63) </w:t>
      </w:r>
      <w:r w:rsidRPr="000C2713">
        <w:rPr>
          <w:i w:val="0"/>
        </w:rPr>
        <w:t xml:space="preserve">ostvarene su u iznosu od </w:t>
      </w:r>
      <w:r w:rsidR="000B343D">
        <w:rPr>
          <w:i w:val="0"/>
        </w:rPr>
        <w:t>724.988,49</w:t>
      </w:r>
      <w:r w:rsidR="007F77B8" w:rsidRPr="000C2713">
        <w:rPr>
          <w:i w:val="0"/>
        </w:rPr>
        <w:t xml:space="preserve"> eura.</w:t>
      </w:r>
      <w:r w:rsidRPr="000C2713">
        <w:rPr>
          <w:i w:val="0"/>
        </w:rPr>
        <w:t xml:space="preserve"> Prihodi po ovoj osnovi odnose se na tekuće </w:t>
      </w:r>
      <w:r w:rsidR="008C3F13">
        <w:rPr>
          <w:i w:val="0"/>
        </w:rPr>
        <w:t>pomoći proračunu i izvanproračunskim korisnicima iz drugih proračuna koje su ostvare</w:t>
      </w:r>
      <w:r w:rsidR="00F35E9C">
        <w:rPr>
          <w:i w:val="0"/>
        </w:rPr>
        <w:t>ne u iznosu od 117.552,97 eura i to 41.000,00 eura za održavanje nerazvrstanih cesta od Ministarstva prostornog uređenja, graditeljstva i državne imovine,</w:t>
      </w:r>
      <w:r w:rsidR="00FE673D">
        <w:rPr>
          <w:i w:val="0"/>
        </w:rPr>
        <w:t xml:space="preserve"> </w:t>
      </w:r>
      <w:r w:rsidR="00F35E9C">
        <w:rPr>
          <w:i w:val="0"/>
        </w:rPr>
        <w:t xml:space="preserve">66.352,97 eura od Ministarstva demografije i </w:t>
      </w:r>
      <w:r w:rsidR="00FE673D">
        <w:rPr>
          <w:i w:val="0"/>
        </w:rPr>
        <w:t>i</w:t>
      </w:r>
      <w:r w:rsidR="00F35E9C">
        <w:rPr>
          <w:i w:val="0"/>
        </w:rPr>
        <w:t>seljeništva za nabavku opreme i sitnog inventara za dječji vrtić Cvrčak te 10.200,00 eura od Zadarske županije za opremanje dječjih igrališta.</w:t>
      </w:r>
    </w:p>
    <w:p w:rsidR="00FE673D" w:rsidRDefault="00F35E9C" w:rsidP="000C2713">
      <w:pPr>
        <w:pStyle w:val="NoSpacing"/>
        <w:jc w:val="both"/>
        <w:rPr>
          <w:i w:val="0"/>
        </w:rPr>
      </w:pPr>
      <w:r>
        <w:rPr>
          <w:i w:val="0"/>
        </w:rPr>
        <w:t>Kapitalne pomoći proračunu i izvanproračunskim korisinicima ostavrene su u iznosu od 33.054,57 e</w:t>
      </w:r>
      <w:r w:rsidR="00FE673D">
        <w:rPr>
          <w:i w:val="0"/>
        </w:rPr>
        <w:t>ura za financiranje projekta Zeleni val i za nabavku opreme za vrtić.</w:t>
      </w:r>
    </w:p>
    <w:p w:rsidR="00D76D03" w:rsidRDefault="00FE673D" w:rsidP="004F67F5">
      <w:pPr>
        <w:pStyle w:val="NoSpacing"/>
        <w:jc w:val="both"/>
        <w:rPr>
          <w:i w:val="0"/>
        </w:rPr>
      </w:pPr>
      <w:r>
        <w:rPr>
          <w:i w:val="0"/>
        </w:rPr>
        <w:t>Pomoći fiskalnog izravnanja ostavrene su u iznosu od 480.770,60 erua i to kompenzacijske mjere u iznosu od 412.790,60 eura i za fiskalnu održivost dječjih vrtića u iznosu od 67.980,00 eura.</w:t>
      </w:r>
    </w:p>
    <w:p w:rsidR="00D85C15" w:rsidRDefault="00D85C15" w:rsidP="000C2713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 ostvarenu pomoć u iznosu od </w:t>
      </w:r>
      <w:r w:rsidR="00FE673D">
        <w:rPr>
          <w:i w:val="0"/>
        </w:rPr>
        <w:t>2.241,42</w:t>
      </w:r>
      <w:r w:rsidR="004F67F5">
        <w:rPr>
          <w:i w:val="0"/>
        </w:rPr>
        <w:t xml:space="preserve"> eura </w:t>
      </w:r>
      <w:r>
        <w:rPr>
          <w:i w:val="0"/>
        </w:rPr>
        <w:t xml:space="preserve"> od Ministarstva prosvjete za financiranje predškolskog o</w:t>
      </w:r>
      <w:r w:rsidR="004F67F5">
        <w:rPr>
          <w:i w:val="0"/>
        </w:rPr>
        <w:t>dgoja i od grada Benkovca za sufinanciranje boravka djece u vrtiću.</w:t>
      </w:r>
    </w:p>
    <w:p w:rsidR="004F67F5" w:rsidRPr="004F67F5" w:rsidRDefault="004F67F5" w:rsidP="004F67F5">
      <w:pPr>
        <w:pStyle w:val="NoSpacing"/>
        <w:jc w:val="both"/>
        <w:rPr>
          <w:rFonts w:cstheme="minorHAnsi"/>
          <w:i w:val="0"/>
        </w:rPr>
      </w:pPr>
      <w:r w:rsidRPr="004F67F5">
        <w:rPr>
          <w:rFonts w:cstheme="minorHAnsi"/>
          <w:i w:val="0"/>
        </w:rPr>
        <w:t xml:space="preserve">Prihodi </w:t>
      </w:r>
      <w:r>
        <w:rPr>
          <w:rFonts w:cstheme="minorHAnsi"/>
          <w:i w:val="0"/>
        </w:rPr>
        <w:t xml:space="preserve"> od pomoći temeljem prijenosa EU sredstvao </w:t>
      </w:r>
      <w:r w:rsidRPr="004F67F5">
        <w:rPr>
          <w:rFonts w:cstheme="minorHAnsi"/>
          <w:i w:val="0"/>
        </w:rPr>
        <w:t xml:space="preserve">stvareni su u iznosu od </w:t>
      </w:r>
      <w:r w:rsidR="00887005">
        <w:rPr>
          <w:rFonts w:cstheme="minorHAnsi"/>
          <w:i w:val="0"/>
        </w:rPr>
        <w:t xml:space="preserve">91.368,93 eura </w:t>
      </w:r>
      <w:r w:rsidRPr="004F67F5">
        <w:rPr>
          <w:rFonts w:cstheme="minorHAnsi"/>
          <w:i w:val="0"/>
        </w:rPr>
        <w:t>a odnose se na pomoć za sufinanciranje projekta Zaželi-Zlatne ruke.</w:t>
      </w:r>
    </w:p>
    <w:p w:rsidR="00D85C15" w:rsidRPr="004F67F5" w:rsidRDefault="00D85C15" w:rsidP="00D85C15">
      <w:pPr>
        <w:pStyle w:val="NoSpacing"/>
        <w:jc w:val="both"/>
        <w:rPr>
          <w:rFonts w:cstheme="minorHAnsi"/>
          <w:i w:val="0"/>
        </w:rPr>
      </w:pPr>
    </w:p>
    <w:p w:rsidR="00FE673D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 xml:space="preserve"> Prihodi od imovine (grupa 64) </w:t>
      </w:r>
      <w:r w:rsidRPr="007E22B5">
        <w:rPr>
          <w:i w:val="0"/>
        </w:rPr>
        <w:t>ostvareni su u iznosu od</w:t>
      </w:r>
      <w:r>
        <w:rPr>
          <w:i w:val="0"/>
        </w:rPr>
        <w:t xml:space="preserve"> </w:t>
      </w:r>
      <w:r w:rsidR="00FE673D">
        <w:rPr>
          <w:i w:val="0"/>
        </w:rPr>
        <w:t>90.522,63 e</w:t>
      </w:r>
      <w:r w:rsidR="00FF36E2">
        <w:rPr>
          <w:i w:val="0"/>
        </w:rPr>
        <w:t>ura</w:t>
      </w:r>
      <w:r w:rsidR="00FE673D">
        <w:rPr>
          <w:i w:val="0"/>
        </w:rPr>
        <w:t>.</w:t>
      </w:r>
    </w:p>
    <w:p w:rsidR="00D85C15" w:rsidRDefault="004F67F5" w:rsidP="00D85C15">
      <w:pPr>
        <w:pStyle w:val="NoSpacing"/>
        <w:jc w:val="both"/>
        <w:rPr>
          <w:i w:val="0"/>
        </w:rPr>
      </w:pPr>
      <w:r w:rsidRPr="007E22B5">
        <w:rPr>
          <w:i w:val="0"/>
        </w:rPr>
        <w:t xml:space="preserve"> </w:t>
      </w:r>
      <w:r w:rsidR="00D85C15" w:rsidRPr="007E22B5">
        <w:rPr>
          <w:i w:val="0"/>
        </w:rPr>
        <w:t>Te prihode čine prihodi od financijske imovine ostvareni u iznosu od</w:t>
      </w:r>
      <w:r w:rsidR="00FF36E2">
        <w:rPr>
          <w:i w:val="0"/>
        </w:rPr>
        <w:t xml:space="preserve"> </w:t>
      </w:r>
      <w:r w:rsidR="00FE673D">
        <w:rPr>
          <w:i w:val="0"/>
        </w:rPr>
        <w:t>1.344,44</w:t>
      </w:r>
      <w:r w:rsidR="00FF36E2">
        <w:rPr>
          <w:i w:val="0"/>
        </w:rPr>
        <w:t xml:space="preserve"> eura</w:t>
      </w:r>
      <w:r w:rsidR="00D85C15" w:rsidRPr="007E22B5">
        <w:rPr>
          <w:i w:val="0"/>
        </w:rPr>
        <w:t xml:space="preserve"> a odnose se na prihode od depozita po viđenju</w:t>
      </w:r>
      <w:r w:rsidR="00D85C15">
        <w:rPr>
          <w:i w:val="0"/>
        </w:rPr>
        <w:t xml:space="preserve"> u iznosu od </w:t>
      </w:r>
      <w:r w:rsidR="00FE673D">
        <w:rPr>
          <w:i w:val="0"/>
        </w:rPr>
        <w:t>55,32</w:t>
      </w:r>
      <w:r w:rsidR="00FF36E2">
        <w:rPr>
          <w:i w:val="0"/>
        </w:rPr>
        <w:t xml:space="preserve"> eura</w:t>
      </w:r>
      <w:r w:rsidR="00D85C15">
        <w:rPr>
          <w:i w:val="0"/>
        </w:rPr>
        <w:t xml:space="preserve"> i prihode od zateznih kamata ostvarenih u iznosu od</w:t>
      </w:r>
      <w:r w:rsidR="00FE673D">
        <w:rPr>
          <w:i w:val="0"/>
        </w:rPr>
        <w:t xml:space="preserve"> 1.279,12</w:t>
      </w:r>
      <w:r w:rsidR="00FF36E2">
        <w:rPr>
          <w:i w:val="0"/>
        </w:rPr>
        <w:t xml:space="preserve"> eura.</w:t>
      </w:r>
    </w:p>
    <w:p w:rsidR="00D85C15" w:rsidRDefault="00D85C15" w:rsidP="00D85C15">
      <w:pPr>
        <w:spacing w:after="0" w:line="240" w:lineRule="auto"/>
        <w:jc w:val="both"/>
      </w:pPr>
      <w:r>
        <w:t xml:space="preserve"> P</w:t>
      </w:r>
      <w:r w:rsidRPr="007E22B5">
        <w:t>rihodi od nefinancijske imovine ostvareni u iznosu od</w:t>
      </w:r>
      <w:r>
        <w:t xml:space="preserve"> </w:t>
      </w:r>
      <w:r w:rsidR="00FE673D">
        <w:t>89.188,19.</w:t>
      </w:r>
      <w:r w:rsidRPr="007E22B5">
        <w:t xml:space="preserve"> Te prihode čine prihodi od naknada za koncesije ostvareni u iznosu od </w:t>
      </w:r>
      <w:r w:rsidR="00FE673D">
        <w:t>16.497,48</w:t>
      </w:r>
      <w:r w:rsidR="00852623">
        <w:t xml:space="preserve"> eura</w:t>
      </w:r>
      <w:r w:rsidRPr="007E22B5">
        <w:t xml:space="preserve">, prihodi od zakupa i iznajmljivanja imovine ostvarene u iznosu od </w:t>
      </w:r>
      <w:r w:rsidR="00FE673D">
        <w:t>72.084,95</w:t>
      </w:r>
      <w:r w:rsidR="00852623">
        <w:t xml:space="preserve"> eura</w:t>
      </w:r>
      <w:r w:rsidRPr="007E22B5">
        <w:t xml:space="preserve">, naknada za korištenje nefinancijske imovine u iznosu od </w:t>
      </w:r>
      <w:r w:rsidR="00FE673D">
        <w:t>20,09</w:t>
      </w:r>
      <w:r w:rsidR="00852623">
        <w:t xml:space="preserve"> eura</w:t>
      </w:r>
      <w:r w:rsidRPr="007E22B5">
        <w:t xml:space="preserve"> te prihodi od nefinancijske imovine u iznosu od</w:t>
      </w:r>
      <w:r w:rsidR="00852623">
        <w:t xml:space="preserve"> </w:t>
      </w:r>
      <w:r w:rsidR="00FE673D">
        <w:t>585,67</w:t>
      </w:r>
      <w:r w:rsidR="00852623">
        <w:t xml:space="preserve"> eura.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5D0F3D" w:rsidRDefault="00D85C15" w:rsidP="00D85C15">
      <w:pPr>
        <w:pStyle w:val="NoSpacing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FE673D">
        <w:rPr>
          <w:i w:val="0"/>
        </w:rPr>
        <w:t>634.517,01</w:t>
      </w:r>
      <w:r w:rsidR="00852623">
        <w:rPr>
          <w:i w:val="0"/>
        </w:rPr>
        <w:t xml:space="preserve"> eura i ostvareni su </w:t>
      </w:r>
      <w:r w:rsidR="00FE673D">
        <w:rPr>
          <w:i w:val="0"/>
        </w:rPr>
        <w:t xml:space="preserve">u manjem opsegu od planiranih i indeks </w:t>
      </w:r>
      <w:r w:rsidR="00FE673D">
        <w:rPr>
          <w:i w:val="0"/>
        </w:rPr>
        <w:lastRenderedPageBreak/>
        <w:t>izvršenja u odnosu na plan je 74,83% a indeks izvršenja u odnosu na izvršenje prethodne godine je 74,83%.</w:t>
      </w:r>
      <w:r w:rsidRPr="007E22B5">
        <w:rPr>
          <w:i w:val="0"/>
        </w:rPr>
        <w:t xml:space="preserve"> Navedene prihode čine upravne i administrativne pristojbe u iznosu od </w:t>
      </w:r>
      <w:r w:rsidR="005D0F3D">
        <w:rPr>
          <w:i w:val="0"/>
        </w:rPr>
        <w:t>48.306,96</w:t>
      </w:r>
      <w:r w:rsidR="00852623">
        <w:rPr>
          <w:i w:val="0"/>
        </w:rPr>
        <w:t xml:space="preserve"> eura</w:t>
      </w:r>
      <w:r w:rsidR="005D0F3D">
        <w:rPr>
          <w:i w:val="0"/>
        </w:rPr>
        <w:t xml:space="preserve"> i odnose se na županijske, gradske i općinske pristojbe u iznosu od 13,31 eura te ostale upravne pristojbe i naknade u iznosu od 48.250,02 eura i to za turističku pristojbu.</w:t>
      </w:r>
    </w:p>
    <w:p w:rsidR="005D0F3D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 Prihodi po posebnim propisima ostvareni su </w:t>
      </w:r>
      <w:r w:rsidR="005D0F3D">
        <w:rPr>
          <w:i w:val="0"/>
        </w:rPr>
        <w:t>u iznosu od 152.810,030 eura i znatno su veći nego u 2024.godini. Razlog povećanja je početak zavrnšnog procesa katastarske izmjere tj. ostvrivanje prihoda od sufinanciranje građana za troškove katastarske izmjere.</w:t>
      </w:r>
    </w:p>
    <w:p w:rsidR="005D0F3D" w:rsidRDefault="005D0F3D" w:rsidP="00D85C15">
      <w:pPr>
        <w:pStyle w:val="NoSpacing"/>
        <w:jc w:val="both"/>
        <w:rPr>
          <w:i w:val="0"/>
        </w:rPr>
      </w:pPr>
      <w:r>
        <w:rPr>
          <w:i w:val="0"/>
        </w:rPr>
        <w:t>Prihodi od sufinanciranja roditelja za troškove dječjeg vrtića iznose 55.149,11 eura.</w:t>
      </w:r>
    </w:p>
    <w:p w:rsidR="00852623" w:rsidRDefault="005D0F3D" w:rsidP="00D85C15">
      <w:pPr>
        <w:pStyle w:val="NoSpacing"/>
        <w:jc w:val="both"/>
        <w:rPr>
          <w:i w:val="0"/>
        </w:rPr>
      </w:pPr>
      <w:r>
        <w:rPr>
          <w:i w:val="0"/>
        </w:rPr>
        <w:t xml:space="preserve"> </w:t>
      </w:r>
      <w:r w:rsidR="00852623">
        <w:rPr>
          <w:i w:val="0"/>
        </w:rPr>
        <w:t>Prihodi od komuna</w:t>
      </w:r>
      <w:r w:rsidR="008740F6">
        <w:rPr>
          <w:i w:val="0"/>
        </w:rPr>
        <w:t>l</w:t>
      </w:r>
      <w:r w:rsidR="00852623">
        <w:rPr>
          <w:i w:val="0"/>
        </w:rPr>
        <w:t xml:space="preserve">ne naknade i komunalnog doprinosa ostvareni su u iznosu od </w:t>
      </w:r>
      <w:r>
        <w:rPr>
          <w:i w:val="0"/>
        </w:rPr>
        <w:t>433.399,75</w:t>
      </w:r>
      <w:r w:rsidR="00852623">
        <w:rPr>
          <w:i w:val="0"/>
        </w:rPr>
        <w:t xml:space="preserve"> eura i </w:t>
      </w:r>
      <w:r w:rsidR="008740F6">
        <w:rPr>
          <w:i w:val="0"/>
        </w:rPr>
        <w:t>indeks izvršenja u odnosu na izvršenje 202</w:t>
      </w:r>
      <w:r>
        <w:rPr>
          <w:i w:val="0"/>
        </w:rPr>
        <w:t>4</w:t>
      </w:r>
      <w:r w:rsidR="008740F6">
        <w:rPr>
          <w:i w:val="0"/>
        </w:rPr>
        <w:t xml:space="preserve">. godine je </w:t>
      </w:r>
      <w:r w:rsidR="006F2F6D">
        <w:rPr>
          <w:i w:val="0"/>
        </w:rPr>
        <w:t>81,73</w:t>
      </w:r>
      <w:r w:rsidR="008740F6">
        <w:rPr>
          <w:i w:val="0"/>
        </w:rPr>
        <w:t>%.</w:t>
      </w:r>
      <w:r w:rsidR="00D85C15">
        <w:rPr>
          <w:i w:val="0"/>
        </w:rPr>
        <w:t xml:space="preserve"> </w:t>
      </w:r>
    </w:p>
    <w:p w:rsidR="008740F6" w:rsidRDefault="00852623" w:rsidP="00D85C15">
      <w:pPr>
        <w:pStyle w:val="NoSpacing"/>
        <w:jc w:val="both"/>
        <w:rPr>
          <w:i w:val="0"/>
        </w:rPr>
      </w:pPr>
      <w:r>
        <w:rPr>
          <w:i w:val="0"/>
        </w:rPr>
        <w:t>Komunalni doprinos ostvaren je u izn</w:t>
      </w:r>
      <w:r w:rsidR="00376B41">
        <w:rPr>
          <w:i w:val="0"/>
        </w:rPr>
        <w:t xml:space="preserve">osu od </w:t>
      </w:r>
      <w:r w:rsidR="006F2F6D">
        <w:rPr>
          <w:i w:val="0"/>
        </w:rPr>
        <w:t>175.457,69 eura</w:t>
      </w:r>
      <w:r w:rsidR="008740F6">
        <w:rPr>
          <w:i w:val="0"/>
        </w:rPr>
        <w:t>.</w:t>
      </w:r>
    </w:p>
    <w:p w:rsidR="008740F6" w:rsidRPr="008740F6" w:rsidRDefault="008740F6" w:rsidP="008740F6">
      <w:pPr>
        <w:pStyle w:val="NoSpacing"/>
        <w:jc w:val="both"/>
        <w:rPr>
          <w:rFonts w:cstheme="minorHAnsi"/>
          <w:i w:val="0"/>
        </w:rPr>
      </w:pPr>
      <w:r w:rsidRPr="008740F6">
        <w:rPr>
          <w:rFonts w:cstheme="minorHAnsi"/>
          <w:i w:val="0"/>
        </w:rPr>
        <w:t xml:space="preserve">Prihodi </w:t>
      </w:r>
      <w:r>
        <w:rPr>
          <w:rFonts w:cstheme="minorHAnsi"/>
          <w:i w:val="0"/>
        </w:rPr>
        <w:t>od komunalne naknade</w:t>
      </w:r>
      <w:r w:rsidRPr="008740F6">
        <w:rPr>
          <w:rFonts w:cstheme="minorHAnsi"/>
          <w:i w:val="0"/>
        </w:rPr>
        <w:t xml:space="preserve"> osnovni ostvareni su u iznosu od </w:t>
      </w:r>
      <w:r w:rsidR="006F2F6D">
        <w:rPr>
          <w:rFonts w:cstheme="minorHAnsi"/>
          <w:i w:val="0"/>
        </w:rPr>
        <w:t>257.942,06 eura.</w:t>
      </w:r>
      <w:r w:rsidRPr="008740F6">
        <w:rPr>
          <w:rFonts w:cstheme="minorHAnsi"/>
          <w:i w:val="0"/>
        </w:rPr>
        <w:t xml:space="preserve"> </w:t>
      </w:r>
    </w:p>
    <w:p w:rsidR="008740F6" w:rsidRDefault="008740F6" w:rsidP="00D85C15">
      <w:pPr>
        <w:pStyle w:val="NoSpacing"/>
        <w:jc w:val="both"/>
        <w:rPr>
          <w:b/>
          <w:i w:val="0"/>
        </w:rPr>
      </w:pPr>
    </w:p>
    <w:p w:rsidR="00376B41" w:rsidRDefault="00D85C15" w:rsidP="00D85C15">
      <w:pPr>
        <w:pStyle w:val="NoSpacing"/>
        <w:jc w:val="both"/>
        <w:rPr>
          <w:i w:val="0"/>
        </w:rPr>
      </w:pPr>
      <w:r w:rsidRPr="003771C9">
        <w:rPr>
          <w:b/>
          <w:i w:val="0"/>
        </w:rPr>
        <w:t>Prihodi od prodaje proizvoda i robe te pruženih usluga i prihodi od donacija (grupa66)</w:t>
      </w:r>
      <w:r w:rsidRPr="003771C9">
        <w:t xml:space="preserve"> </w:t>
      </w:r>
      <w:r w:rsidRPr="003771C9">
        <w:rPr>
          <w:i w:val="0"/>
        </w:rPr>
        <w:t>ostvareni su u iznosu od</w:t>
      </w:r>
      <w:r>
        <w:rPr>
          <w:i w:val="0"/>
        </w:rPr>
        <w:t xml:space="preserve"> </w:t>
      </w:r>
      <w:r w:rsidR="006F2F6D">
        <w:rPr>
          <w:i w:val="0"/>
        </w:rPr>
        <w:t>15.141,51</w:t>
      </w:r>
      <w:r w:rsidR="00376B41">
        <w:rPr>
          <w:i w:val="0"/>
        </w:rPr>
        <w:t xml:space="preserve"> eura.</w:t>
      </w:r>
    </w:p>
    <w:p w:rsidR="00D85C15" w:rsidRPr="003771C9" w:rsidRDefault="00D85C15" w:rsidP="00D85C15">
      <w:pPr>
        <w:pStyle w:val="NoSpacing"/>
        <w:jc w:val="both"/>
        <w:rPr>
          <w:b/>
          <w:i w:val="0"/>
        </w:rPr>
      </w:pPr>
      <w:r w:rsidRPr="003771C9">
        <w:rPr>
          <w:i w:val="0"/>
        </w:rPr>
        <w:t xml:space="preserve"> Prihodi od pruženih usluga iznose  odnose se na naplaćene materijalne troškove Hrvatskim vodama  i uplatu 10% od uplaćene slivne vodne naknade Hrvatskim voda</w:t>
      </w:r>
      <w:r w:rsidR="006F2F6D">
        <w:rPr>
          <w:i w:val="0"/>
        </w:rPr>
        <w:t xml:space="preserve"> te donacija od pravne osbe u iznosu od 6.435,00 eura a odnosi se na donaciju udruge Dalamtinko iz Splita za obnovu igrališta u Posedarju.</w:t>
      </w:r>
    </w:p>
    <w:p w:rsidR="00D85C15" w:rsidRDefault="00D85C15" w:rsidP="00D85C15">
      <w:pPr>
        <w:pStyle w:val="NoSpacing"/>
        <w:jc w:val="both"/>
        <w:rPr>
          <w:b/>
          <w:i w:val="0"/>
        </w:rPr>
      </w:pPr>
    </w:p>
    <w:p w:rsidR="00D85C15" w:rsidRDefault="00D85C15" w:rsidP="00D85C15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>
        <w:t xml:space="preserve"> </w:t>
      </w:r>
      <w:r w:rsidR="006F2F6D">
        <w:t>7.394,51</w:t>
      </w:r>
      <w:r w:rsidR="00376B41">
        <w:t xml:space="preserve"> eura</w:t>
      </w:r>
      <w:r>
        <w:t xml:space="preserve"> a odnose se na prihode od ostali</w:t>
      </w:r>
      <w:r w:rsidR="00376B41">
        <w:t>h kazni(nepropisno parkiranje) i ostali</w:t>
      </w:r>
      <w:r w:rsidR="00F86CA7">
        <w:t xml:space="preserve">e </w:t>
      </w:r>
      <w:r w:rsidR="00376B41">
        <w:t>prihoda.</w:t>
      </w:r>
    </w:p>
    <w:p w:rsidR="00D85C15" w:rsidRDefault="00D85C15" w:rsidP="00D85C15">
      <w:pPr>
        <w:spacing w:after="0" w:line="240" w:lineRule="auto"/>
        <w:jc w:val="both"/>
      </w:pPr>
    </w:p>
    <w:p w:rsidR="00D85C15" w:rsidRDefault="00D85C15" w:rsidP="00D85C15">
      <w:pPr>
        <w:spacing w:after="0" w:line="240" w:lineRule="auto"/>
        <w:jc w:val="both"/>
        <w:rPr>
          <w:i/>
        </w:rPr>
      </w:pPr>
    </w:p>
    <w:p w:rsidR="00D85C15" w:rsidRDefault="00D85C15" w:rsidP="00D85C15">
      <w:pPr>
        <w:pStyle w:val="NoSpacing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6F2F6D">
        <w:rPr>
          <w:i w:val="0"/>
        </w:rPr>
        <w:t>1.434.965,48 eura.</w:t>
      </w:r>
      <w:r>
        <w:rPr>
          <w:i w:val="0"/>
        </w:rPr>
        <w:t xml:space="preserve"> </w:t>
      </w:r>
    </w:p>
    <w:p w:rsidR="000A6BFE" w:rsidRDefault="008740F6" w:rsidP="00AD5718">
      <w:pPr>
        <w:pStyle w:val="NoSpacing"/>
        <w:jc w:val="both"/>
        <w:rPr>
          <w:i w:val="0"/>
        </w:rPr>
      </w:pPr>
      <w:r>
        <w:rPr>
          <w:i w:val="0"/>
        </w:rPr>
        <w:t>Prihode čine prihodi</w:t>
      </w:r>
      <w:r w:rsidR="00376B41">
        <w:rPr>
          <w:i w:val="0"/>
        </w:rPr>
        <w:t xml:space="preserve"> od prodaje građevinskih parcela u Poslovnoj zoni u Posedarju</w:t>
      </w:r>
      <w:r w:rsidR="00AD5718">
        <w:rPr>
          <w:i w:val="0"/>
        </w:rPr>
        <w:t xml:space="preserve"> u iznosu od 419.006,14 eura i prihodi od prodaje građevinskih parcela u dijelu Ivandići u Posedarju u iznosu od 375.227,02 eura, prihodi od prodaje </w:t>
      </w:r>
      <w:r w:rsidR="00376B41">
        <w:rPr>
          <w:i w:val="0"/>
        </w:rPr>
        <w:t xml:space="preserve">građveinskih parcela u </w:t>
      </w:r>
      <w:r>
        <w:rPr>
          <w:i w:val="0"/>
        </w:rPr>
        <w:t>Čelinci u P</w:t>
      </w:r>
      <w:r w:rsidR="000A6BFE">
        <w:rPr>
          <w:i w:val="0"/>
        </w:rPr>
        <w:t xml:space="preserve">osedarju u iznosu od </w:t>
      </w:r>
      <w:r w:rsidR="00AD5718">
        <w:rPr>
          <w:i w:val="0"/>
        </w:rPr>
        <w:t>635.555,94 eura, te prihodi od rpodaje građevinskih parcela u stambenoj zoni u Slivnici u iznosu od 5.176,38 eura.</w:t>
      </w:r>
    </w:p>
    <w:p w:rsidR="00F86CA7" w:rsidRDefault="00F86CA7" w:rsidP="00F86CA7">
      <w:pPr>
        <w:pStyle w:val="NoSpacing"/>
        <w:jc w:val="both"/>
        <w:rPr>
          <w:b/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 Rashodi i izdaci</w:t>
      </w:r>
    </w:p>
    <w:p w:rsidR="00F86CA7" w:rsidRDefault="00F86CA7" w:rsidP="00F86CA7">
      <w:pPr>
        <w:pStyle w:val="NoSpacing"/>
        <w:jc w:val="both"/>
        <w:rPr>
          <w:i w:val="0"/>
        </w:rPr>
      </w:pPr>
      <w:r w:rsidRPr="007E22B5">
        <w:rPr>
          <w:i w:val="0"/>
        </w:rPr>
        <w:t>Ukupni rashodi i izdaci u razdoblju od 01.</w:t>
      </w:r>
      <w:r>
        <w:rPr>
          <w:i w:val="0"/>
        </w:rPr>
        <w:t>01</w:t>
      </w:r>
      <w:r w:rsidRPr="007E22B5">
        <w:rPr>
          <w:i w:val="0"/>
        </w:rPr>
        <w:t xml:space="preserve">  do 31.12.20</w:t>
      </w:r>
      <w:r>
        <w:rPr>
          <w:i w:val="0"/>
        </w:rPr>
        <w:t>2</w:t>
      </w:r>
      <w:r w:rsidR="00AD5718">
        <w:rPr>
          <w:i w:val="0"/>
        </w:rPr>
        <w:t>5</w:t>
      </w:r>
      <w:r w:rsidRPr="007E22B5">
        <w:rPr>
          <w:i w:val="0"/>
        </w:rPr>
        <w:t xml:space="preserve">.g. iznose </w:t>
      </w:r>
      <w:r w:rsidR="00F36B82">
        <w:rPr>
          <w:i w:val="0"/>
        </w:rPr>
        <w:t>5.011.595,55</w:t>
      </w:r>
      <w:r>
        <w:rPr>
          <w:i w:val="0"/>
        </w:rPr>
        <w:t xml:space="preserve"> eura. Rashodi poslovanja iznose </w:t>
      </w:r>
      <w:r w:rsidR="00F36B82">
        <w:rPr>
          <w:i w:val="0"/>
        </w:rPr>
        <w:t>3.744.731,82</w:t>
      </w:r>
      <w:r>
        <w:rPr>
          <w:i w:val="0"/>
        </w:rPr>
        <w:t xml:space="preserve"> eura , rashodi za nabvu nefinancijske imovine iznose </w:t>
      </w:r>
      <w:r w:rsidR="00F36B82">
        <w:rPr>
          <w:i w:val="0"/>
        </w:rPr>
        <w:t>1.266.863,73</w:t>
      </w:r>
      <w:r>
        <w:rPr>
          <w:i w:val="0"/>
        </w:rPr>
        <w:t xml:space="preserve"> eura</w:t>
      </w:r>
      <w:r w:rsidR="00F36B82">
        <w:rPr>
          <w:i w:val="0"/>
        </w:rPr>
        <w:t>.</w:t>
      </w:r>
      <w:r>
        <w:rPr>
          <w:i w:val="0"/>
        </w:rPr>
        <w:t xml:space="preserve">  </w:t>
      </w:r>
    </w:p>
    <w:p w:rsidR="00F86CA7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F86CA7" w:rsidRPr="00944E56" w:rsidRDefault="00F86CA7" w:rsidP="00F86CA7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  <w:t xml:space="preserve">Rashodi i izdaci </w:t>
      </w:r>
      <w:r w:rsidRPr="00944E56">
        <w:rPr>
          <w:i/>
          <w:szCs w:val="24"/>
        </w:rPr>
        <w:t xml:space="preserve"> za  20</w:t>
      </w:r>
      <w:r>
        <w:rPr>
          <w:i/>
          <w:szCs w:val="24"/>
        </w:rPr>
        <w:t>2</w:t>
      </w:r>
      <w:r w:rsidR="00F36B82">
        <w:rPr>
          <w:i/>
          <w:szCs w:val="24"/>
        </w:rPr>
        <w:t>4</w:t>
      </w:r>
      <w:r w:rsidRPr="00944E56">
        <w:rPr>
          <w:i/>
          <w:szCs w:val="24"/>
        </w:rPr>
        <w:t>. i  20</w:t>
      </w:r>
      <w:r>
        <w:rPr>
          <w:i/>
          <w:szCs w:val="24"/>
        </w:rPr>
        <w:t>2</w:t>
      </w:r>
      <w:r w:rsidR="00F36B82">
        <w:rPr>
          <w:i/>
          <w:szCs w:val="24"/>
        </w:rPr>
        <w:t>5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F86CA7" w:rsidRPr="007C5DF9" w:rsidTr="008C132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:rsidR="00F86CA7" w:rsidRPr="007C5DF9" w:rsidRDefault="00F86CA7" w:rsidP="00A311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B52BA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52BA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A6BF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B52BA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52BA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B52BA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52BA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F86CA7" w:rsidRPr="007C5DF9" w:rsidRDefault="00F86CA7" w:rsidP="00A311B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 ostvar.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6(5/3)*100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6CA7" w:rsidRPr="007C5DF9" w:rsidRDefault="00F86CA7" w:rsidP="00A311BE">
            <w:pPr>
              <w:pStyle w:val="NoSpacing"/>
            </w:pPr>
            <w:r w:rsidRPr="007C5DF9">
              <w:t>7(5/4)*100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740.870,90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1.070.345,00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1.043.460,77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97,49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1.716.509,69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2.508.501,00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1.880.895,69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36B82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74,98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7C5DF9" w:rsidRDefault="00F86CA7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6.244,72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7.191,63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109,80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Pomoći dane u inozemstvo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53.879,08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221.252,00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92.811,26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41,95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118.530,69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136.491,00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133.093,10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97,51</w:t>
            </w:r>
          </w:p>
        </w:tc>
      </w:tr>
      <w:tr w:rsidR="00F86CA7" w:rsidRPr="007C5DF9" w:rsidTr="008C132E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Ostali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473.268,66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740.361,00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887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587.279,37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124,09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79,32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251.326,31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1.314.300,00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369.413,27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146,99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28,11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8C132E" w:rsidRDefault="00F86CA7" w:rsidP="008C132E">
            <w:pPr>
              <w:pStyle w:val="NoSpacing"/>
              <w:rPr>
                <w:rFonts w:cstheme="minorHAnsi"/>
                <w:i w:val="0"/>
                <w:sz w:val="20"/>
                <w:szCs w:val="20"/>
              </w:rPr>
            </w:pPr>
            <w:r w:rsidRPr="008C132E">
              <w:rPr>
                <w:rFonts w:cstheme="minorHAnsi"/>
                <w:i w:val="0"/>
                <w:sz w:val="20"/>
                <w:szCs w:val="20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496.756,87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2.172.100,00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897.450,46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180,66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41,32</w:t>
            </w:r>
          </w:p>
        </w:tc>
      </w:tr>
      <w:tr w:rsidR="00F86CA7" w:rsidRPr="007C5DF9" w:rsidTr="008C132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F86CA7" w:rsidP="00A311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3.857.386,92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7FA2" w:rsidRPr="007C5DF9" w:rsidRDefault="00CC0AB9" w:rsidP="00747F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8.169.900,00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5.011.595,55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129,92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6CA7" w:rsidRPr="007C5DF9" w:rsidRDefault="00CC0AB9" w:rsidP="00A311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61,34</w:t>
            </w:r>
          </w:p>
        </w:tc>
      </w:tr>
    </w:tbl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B52BA9" w:rsidRDefault="00F86CA7" w:rsidP="00B52BA9">
      <w:pPr>
        <w:jc w:val="both"/>
      </w:pPr>
      <w:r w:rsidRPr="00B52BA9">
        <w:t xml:space="preserve">Rashodi i izdaci proračunskog korisnika DV Cvrčak Posedarje ostvareni su u iznosu od </w:t>
      </w:r>
      <w:r w:rsidR="00B52BA9" w:rsidRPr="00B52BA9">
        <w:t>439.367,07</w:t>
      </w:r>
      <w:r w:rsidR="00B52BA9">
        <w:t xml:space="preserve"> </w:t>
      </w:r>
      <w:r w:rsidRPr="00B52BA9">
        <w:t xml:space="preserve">i to </w:t>
      </w:r>
      <w:r w:rsidR="00747FA2" w:rsidRPr="00B52BA9">
        <w:t>rashodi</w:t>
      </w:r>
      <w:r w:rsidRPr="00B52BA9">
        <w:t xml:space="preserve"> koji se financiraju iz proračuna Općine Posedarje u iznosu od </w:t>
      </w:r>
      <w:r w:rsidR="00B52BA9">
        <w:t>381.976,53</w:t>
      </w:r>
      <w:r w:rsidR="00747FA2" w:rsidRPr="00B52BA9">
        <w:t xml:space="preserve"> eura</w:t>
      </w:r>
      <w:r w:rsidRPr="00B52BA9">
        <w:t xml:space="preserve"> te rashodi financirani vlastitim sredstvima iz proračuna DV u iznosu od</w:t>
      </w:r>
      <w:r w:rsidR="00B52BA9">
        <w:t xml:space="preserve"> 57.390,54</w:t>
      </w:r>
      <w:r w:rsidR="00747FA2" w:rsidRPr="00B52BA9">
        <w:t xml:space="preserve">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7E22B5" w:rsidRDefault="00F86CA7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Pr="007E22B5">
        <w:rPr>
          <w:b/>
          <w:i w:val="0"/>
        </w:rPr>
        <w:t>.2.</w:t>
      </w:r>
      <w:r w:rsidR="00747FA2">
        <w:rPr>
          <w:b/>
          <w:i w:val="0"/>
        </w:rPr>
        <w:t>1</w:t>
      </w:r>
      <w:r w:rsidRPr="007E22B5">
        <w:rPr>
          <w:b/>
          <w:i w:val="0"/>
        </w:rPr>
        <w:t xml:space="preserve"> Rashodi poslovanja</w:t>
      </w:r>
    </w:p>
    <w:p w:rsidR="00F86CA7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B52BA9">
        <w:rPr>
          <w:i w:val="0"/>
        </w:rPr>
        <w:t>3.744.731,82</w:t>
      </w:r>
      <w:r w:rsidR="00747FA2">
        <w:rPr>
          <w:i w:val="0"/>
        </w:rPr>
        <w:t xml:space="preserve"> eura</w:t>
      </w:r>
      <w:r>
        <w:rPr>
          <w:i w:val="0"/>
        </w:rPr>
        <w:t xml:space="preserve"> ili </w:t>
      </w:r>
      <w:r w:rsidR="00B52BA9">
        <w:rPr>
          <w:i w:val="0"/>
        </w:rPr>
        <w:t>120,44</w:t>
      </w:r>
      <w:r w:rsidR="00CC1302">
        <w:rPr>
          <w:i w:val="0"/>
        </w:rPr>
        <w:t xml:space="preserve"> u donosu na izvršenje prošle godine i </w:t>
      </w:r>
      <w:r w:rsidR="00B52BA9">
        <w:rPr>
          <w:i w:val="0"/>
        </w:rPr>
        <w:t>79,96%</w:t>
      </w:r>
      <w:r w:rsidR="00CC1302">
        <w:rPr>
          <w:i w:val="0"/>
        </w:rPr>
        <w:t xml:space="preserve"> u odnosu na planirana sredstva 2024. godine.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Pr="003F60F6" w:rsidRDefault="00F86CA7" w:rsidP="003F60F6">
      <w:pPr>
        <w:jc w:val="both"/>
        <w:rPr>
          <w:rFonts w:ascii="Arial" w:eastAsia="Times New Roman" w:hAnsi="Arial" w:cs="Arial"/>
          <w:b/>
          <w:bCs/>
          <w:color w:val="000080"/>
          <w:sz w:val="16"/>
          <w:szCs w:val="16"/>
          <w:lang w:val="en-US" w:eastAsia="en-US"/>
        </w:rPr>
      </w:pPr>
      <w:r w:rsidRPr="00B52BA9">
        <w:rPr>
          <w:b/>
        </w:rPr>
        <w:t xml:space="preserve">Rashodi za zaposlene (grupa 31) </w:t>
      </w:r>
      <w:r w:rsidRPr="00B52BA9">
        <w:t xml:space="preserve">ostvareni su u iznosu od </w:t>
      </w:r>
      <w:r w:rsidR="00B52BA9" w:rsidRPr="00B52BA9">
        <w:t>1.043.460,77</w:t>
      </w:r>
      <w:r w:rsidR="00BC69F6" w:rsidRPr="00B52BA9">
        <w:t xml:space="preserve"> eura</w:t>
      </w:r>
      <w:r w:rsidR="00256A0F" w:rsidRPr="00B52BA9">
        <w:t>.</w:t>
      </w:r>
      <w:r w:rsidRPr="00B52BA9">
        <w:t xml:space="preserve"> U te rashode uključene su bruto plaće zaposlenih djelatnika u JUO-a i djelatnika zaposlenih  u DV Cvrčak Posedarje, ostali rashodi za zaposlene i doprinosi na plaće. Rashodi JUO-a Općine Posedarje iznose </w:t>
      </w:r>
      <w:r w:rsidR="00B52BA9">
        <w:t>680.974,38 eura a rashodi DV Cvrčak iznose 362.486,39 eura</w:t>
      </w:r>
      <w:r w:rsidR="00B52BA9" w:rsidRPr="003F60F6">
        <w:t>.</w:t>
      </w:r>
      <w:r w:rsidR="003F60F6">
        <w:t xml:space="preserve"> </w:t>
      </w:r>
      <w:r w:rsidR="00256A0F" w:rsidRPr="003F60F6">
        <w:t>Rashodi za zaposlene ostvareni su u većem opsegu nego u 202</w:t>
      </w:r>
      <w:r w:rsidR="003F60F6">
        <w:t>4</w:t>
      </w:r>
      <w:r w:rsidR="00256A0F" w:rsidRPr="003F60F6">
        <w:t>. godini radi potrebe zapošljavanja novih djelatnika</w:t>
      </w:r>
      <w:r w:rsidR="001460C7" w:rsidRPr="003F60F6">
        <w:t>,</w:t>
      </w:r>
      <w:r w:rsidR="00256A0F" w:rsidRPr="003F60F6">
        <w:t xml:space="preserve"> povratka djelatn</w:t>
      </w:r>
      <w:r w:rsidR="001460C7" w:rsidRPr="003F60F6">
        <w:t>ika s bolovanja na teret HZZO-a te povećavanje koificijenata za obračun plaće.</w:t>
      </w:r>
    </w:p>
    <w:p w:rsidR="003F60F6" w:rsidRDefault="00F86CA7" w:rsidP="003F60F6">
      <w:pPr>
        <w:jc w:val="both"/>
      </w:pPr>
      <w:r w:rsidRPr="003F60F6">
        <w:rPr>
          <w:b/>
        </w:rPr>
        <w:t xml:space="preserve">Materijalni rashodi (grupa 32)  </w:t>
      </w:r>
      <w:r w:rsidRPr="003F60F6">
        <w:t xml:space="preserve">iznose </w:t>
      </w:r>
      <w:r w:rsidR="003F60F6" w:rsidRPr="003F60F6">
        <w:t>1.880.895,69</w:t>
      </w:r>
      <w:r w:rsidR="00256A0F" w:rsidRPr="003F60F6">
        <w:t xml:space="preserve"> eura</w:t>
      </w:r>
      <w:r w:rsidRPr="003F60F6">
        <w:t xml:space="preserve"> a planirani su u iznosu od </w:t>
      </w:r>
      <w:r w:rsidR="003F60F6" w:rsidRPr="003F60F6">
        <w:t>2.508.501,00</w:t>
      </w:r>
      <w:r w:rsidR="001460C7" w:rsidRPr="003F60F6">
        <w:t xml:space="preserve"> eura</w:t>
      </w:r>
      <w:r w:rsidRPr="003F60F6">
        <w:t xml:space="preserve">   i čine najznačajniju stavku među rashodima proračuna. Materijalni rashodi JUO-a iznose </w:t>
      </w:r>
      <w:r w:rsidR="003F60F6">
        <w:t>1.783.015,28 eura a materijalni rashodi proračunskog korisnika DV Cvrčak Posedarje iznose 97.880,41 euro.</w:t>
      </w:r>
    </w:p>
    <w:p w:rsidR="00256A0F" w:rsidRDefault="00F86CA7" w:rsidP="003F60F6">
      <w:pPr>
        <w:jc w:val="both"/>
      </w:pPr>
      <w:r w:rsidRPr="003F60F6">
        <w:t xml:space="preserve">Rashodi obuhvaćaju naknade troškova zaposlenima u iznosu od </w:t>
      </w:r>
      <w:r w:rsidR="003F60F6">
        <w:t>43.133,57 eura</w:t>
      </w:r>
      <w:r w:rsidR="00256A0F" w:rsidRPr="003F60F6">
        <w:t xml:space="preserve"> eura od čega su rashodi JUO-a </w:t>
      </w:r>
      <w:r w:rsidR="003F60F6">
        <w:t>27.665,54</w:t>
      </w:r>
      <w:r w:rsidR="00256A0F" w:rsidRPr="003F60F6">
        <w:t xml:space="preserve"> eura a rashodi PK Dječji vrić Cvrčak </w:t>
      </w:r>
      <w:r w:rsidR="003F60F6">
        <w:t>15.468,03 eura.</w:t>
      </w:r>
    </w:p>
    <w:p w:rsidR="003F60F6" w:rsidRPr="00F714B0" w:rsidRDefault="003F60F6" w:rsidP="003F60F6">
      <w:pPr>
        <w:jc w:val="both"/>
        <w:rPr>
          <w:rFonts w:ascii="Arial" w:eastAsia="Times New Roman" w:hAnsi="Arial" w:cs="Arial"/>
          <w:b/>
          <w:bCs/>
          <w:color w:val="000080"/>
          <w:sz w:val="16"/>
          <w:szCs w:val="16"/>
          <w:lang w:val="en-US" w:eastAsia="en-US"/>
        </w:rPr>
      </w:pPr>
      <w:r>
        <w:t xml:space="preserve">Svi materijalni rashodi za zaposlene izvršeni su u većem opsegu nego u 2024. godini uslijed </w:t>
      </w:r>
      <w:r w:rsidRPr="00F714B0">
        <w:t>zapošljavanje djelatnika kako u Općini Posedarje tako i u vrtiću rasli su i troškovi materijalnih rashoda.</w:t>
      </w:r>
    </w:p>
    <w:p w:rsidR="00F714B0" w:rsidRPr="00F714B0" w:rsidRDefault="00256A0F" w:rsidP="00F714B0">
      <w:pPr>
        <w:jc w:val="both"/>
        <w:rPr>
          <w:rFonts w:ascii="Arial" w:eastAsia="Times New Roman" w:hAnsi="Arial" w:cs="Arial"/>
          <w:b/>
          <w:bCs/>
          <w:color w:val="000080"/>
          <w:sz w:val="16"/>
          <w:szCs w:val="16"/>
          <w:lang w:val="en-US" w:eastAsia="en-US"/>
        </w:rPr>
      </w:pPr>
      <w:r w:rsidRPr="00F714B0">
        <w:t xml:space="preserve">Rashodi za materijal i energiju iznose </w:t>
      </w:r>
      <w:r w:rsidR="003F60F6" w:rsidRPr="00F714B0">
        <w:t>504.998,23</w:t>
      </w:r>
      <w:r w:rsidRPr="00F714B0">
        <w:t xml:space="preserve"> eura od čega  troškov</w:t>
      </w:r>
      <w:r w:rsidR="00A311BE" w:rsidRPr="00F714B0">
        <w:t>i</w:t>
      </w:r>
      <w:r w:rsidRPr="00F714B0">
        <w:t xml:space="preserve"> JUO-a</w:t>
      </w:r>
      <w:r w:rsidR="009B5830" w:rsidRPr="00F714B0">
        <w:t xml:space="preserve"> iznose</w:t>
      </w:r>
      <w:r w:rsidR="00F714B0">
        <w:t xml:space="preserve"> 450.924,50 eura a troškovi DV Cvrčak iznose 54.073,73 eura. Materijalni rashodi odnose se za nabavku uredskog materijala, materijala i sirovina, energiju,</w:t>
      </w:r>
      <w:r w:rsidR="00F714B0" w:rsidRPr="00F714B0">
        <w:rPr>
          <w:i/>
        </w:rPr>
        <w:t xml:space="preserve"> </w:t>
      </w:r>
      <w:r w:rsidR="00F714B0" w:rsidRPr="00F714B0">
        <w:t>materijal i djelovi za tekuće i investicijksko održavanje, sitni inventar i autogume, službenu i radnu odjeću</w:t>
      </w:r>
      <w:r w:rsidR="00F714B0">
        <w:t xml:space="preserve">. Pojednine stavke su izvršene u znatno većem opsegu nego u 2024.godini radi nabavke uredskog materijala za potrebe ureda katastarske izmjere koja je započela u mjesecu lipnju 2025.godine, </w:t>
      </w:r>
      <w:r w:rsidR="006D5281">
        <w:t xml:space="preserve">nabavke materijala za potrebe lokalnih izbora, </w:t>
      </w:r>
      <w:r w:rsidR="00F714B0">
        <w:t>nabavke materijala za tekuće i investicijko održavanje i to posebno radi nabavke materijala za održavanje vanjske rasvjete, nabavke sitnog inventara za potrebe vrtića.</w:t>
      </w:r>
    </w:p>
    <w:p w:rsidR="00C828EE" w:rsidRDefault="00F86CA7" w:rsidP="00F714B0">
      <w:pPr>
        <w:pStyle w:val="NoSpacing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F714B0">
        <w:rPr>
          <w:i w:val="0"/>
        </w:rPr>
        <w:t>1.254.816,28 eura.</w:t>
      </w:r>
    </w:p>
    <w:p w:rsidR="00F86CA7" w:rsidRDefault="00F86CA7" w:rsidP="00F714B0">
      <w:pPr>
        <w:pStyle w:val="NoSpacing"/>
        <w:jc w:val="both"/>
        <w:rPr>
          <w:i w:val="0"/>
        </w:rPr>
      </w:pPr>
      <w:r>
        <w:rPr>
          <w:i w:val="0"/>
        </w:rPr>
        <w:t xml:space="preserve"> Navedene rashode čine rashodi za usluge pošte i telefona, usluge tekućeg i investicijskog održavanja, usluge promidžbe i informiranja, komunalne usluge, zakupnina i najamnina, zdravstvene i veterinarske usluge ,intelektualne i osobne usluge, računalne usluge i ostale usluge.</w:t>
      </w:r>
      <w:r w:rsidR="00C828EE">
        <w:rPr>
          <w:i w:val="0"/>
        </w:rPr>
        <w:t xml:space="preserve"> Rashodi za usluge JUO-a iznose </w:t>
      </w:r>
      <w:r w:rsidR="006D5281">
        <w:rPr>
          <w:i w:val="0"/>
        </w:rPr>
        <w:t>1.230.177,23</w:t>
      </w:r>
      <w:r w:rsidR="00C828EE">
        <w:rPr>
          <w:i w:val="0"/>
        </w:rPr>
        <w:t xml:space="preserve"> eura a rashodi PK vrtića iznose </w:t>
      </w:r>
      <w:r w:rsidR="006D5281">
        <w:rPr>
          <w:i w:val="0"/>
        </w:rPr>
        <w:t>24.639,05</w:t>
      </w:r>
      <w:r w:rsidR="00C828EE">
        <w:rPr>
          <w:i w:val="0"/>
        </w:rPr>
        <w:t xml:space="preserve"> eura.</w:t>
      </w:r>
    </w:p>
    <w:p w:rsidR="006D5281" w:rsidRDefault="006D5281" w:rsidP="00F714B0">
      <w:pPr>
        <w:pStyle w:val="NoSpacing"/>
        <w:jc w:val="both"/>
        <w:rPr>
          <w:i w:val="0"/>
        </w:rPr>
      </w:pPr>
      <w:r>
        <w:rPr>
          <w:i w:val="0"/>
        </w:rPr>
        <w:t xml:space="preserve">Pojedini troškovi izvršeni su u većem opsegu nego u 2024. godini i to troškove za usluge promidžbe i informiranja </w:t>
      </w:r>
      <w:r w:rsidR="00856FE1">
        <w:rPr>
          <w:i w:val="0"/>
        </w:rPr>
        <w:t xml:space="preserve"> radi većih troškova objave oglasa, intelektualne i osbne usluge izvršene su u većem </w:t>
      </w:r>
      <w:r w:rsidR="00856FE1">
        <w:rPr>
          <w:i w:val="0"/>
        </w:rPr>
        <w:lastRenderedPageBreak/>
        <w:t>opsegu nego u 2024.godini radi troškova ugovora o djelu povjerenika za katastarsku izmeru, računalne usluge su izvršene u većem opsegu nego u 2024.godini radi povećanja mjesečnih računa usluga održavanja računalnih programa, ostale usluge su porasle radi troškova oko manifestacija za vrijeme ljetne sezone.</w:t>
      </w:r>
    </w:p>
    <w:p w:rsidR="00C828EE" w:rsidRDefault="00F86CA7" w:rsidP="00F714B0">
      <w:pPr>
        <w:pStyle w:val="NoSpacing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856FE1">
        <w:rPr>
          <w:i w:val="0"/>
        </w:rPr>
        <w:t>77.947,61</w:t>
      </w:r>
      <w:r w:rsidR="001458F5">
        <w:rPr>
          <w:i w:val="0"/>
        </w:rPr>
        <w:t xml:space="preserve"> eura</w:t>
      </w:r>
      <w:r w:rsidR="00C828EE">
        <w:rPr>
          <w:i w:val="0"/>
        </w:rPr>
        <w:t xml:space="preserve"> (odnose se na naknade članovima predstavničkih tijela,  </w:t>
      </w:r>
      <w:r w:rsidR="00856FE1">
        <w:rPr>
          <w:i w:val="0"/>
        </w:rPr>
        <w:t xml:space="preserve">naknade povjerenstvima za lokalne izbore, </w:t>
      </w:r>
      <w:r w:rsidR="00C828EE">
        <w:rPr>
          <w:i w:val="0"/>
        </w:rPr>
        <w:t>premije osiguranja, reprezentacija, troškovi članarina, pristojbe i naknade i ostali nespomenuti rashodi poslovanja)</w:t>
      </w:r>
    </w:p>
    <w:p w:rsidR="00F86CA7" w:rsidRDefault="00F86CA7" w:rsidP="00C828EE">
      <w:pPr>
        <w:pStyle w:val="NoSpacing"/>
        <w:jc w:val="both"/>
        <w:rPr>
          <w:i w:val="0"/>
        </w:rPr>
      </w:pPr>
      <w:r>
        <w:rPr>
          <w:i w:val="0"/>
        </w:rPr>
        <w:t>i naknade i ostali nespomenuti rashodi poslovanja.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856FE1">
        <w:rPr>
          <w:i w:val="0"/>
        </w:rPr>
        <w:t>7.191,63</w:t>
      </w:r>
      <w:r w:rsidR="00020733">
        <w:rPr>
          <w:i w:val="0"/>
        </w:rPr>
        <w:t xml:space="preserve"> eura i ostvareni su u razini prošlogodišnjih u u skladu s ovogodišnjim planom.Te</w:t>
      </w:r>
      <w:r>
        <w:rPr>
          <w:i w:val="0"/>
        </w:rPr>
        <w:t xml:space="preserve"> rashod</w:t>
      </w:r>
      <w:r w:rsidR="00020733">
        <w:rPr>
          <w:i w:val="0"/>
        </w:rPr>
        <w:t xml:space="preserve">e čine rashodi za </w:t>
      </w:r>
      <w:r>
        <w:rPr>
          <w:i w:val="0"/>
        </w:rPr>
        <w:t xml:space="preserve"> bankarske usluge i usluge platnog  prometa, zatezne kamate i ostali nespomenuti financijski rashodi. </w:t>
      </w:r>
      <w:r w:rsidR="00020733">
        <w:rPr>
          <w:i w:val="0"/>
        </w:rPr>
        <w:t xml:space="preserve">Rashodi JUO-a iznose </w:t>
      </w:r>
      <w:r w:rsidR="00856FE1">
        <w:rPr>
          <w:i w:val="0"/>
        </w:rPr>
        <w:t>6.760,59</w:t>
      </w:r>
      <w:r w:rsidR="00020733">
        <w:rPr>
          <w:i w:val="0"/>
        </w:rPr>
        <w:t xml:space="preserve"> eura a rashodi PK iznose </w:t>
      </w:r>
      <w:r w:rsidR="00856FE1">
        <w:rPr>
          <w:i w:val="0"/>
        </w:rPr>
        <w:t>431,04</w:t>
      </w:r>
      <w:r w:rsidR="00020733">
        <w:rPr>
          <w:i w:val="0"/>
        </w:rPr>
        <w:t xml:space="preserve"> eura.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>
        <w:rPr>
          <w:i w:val="0"/>
        </w:rPr>
        <w:t xml:space="preserve"> </w:t>
      </w:r>
      <w:r w:rsidR="00856FE1">
        <w:rPr>
          <w:i w:val="0"/>
        </w:rPr>
        <w:t>92.811,26</w:t>
      </w:r>
      <w:r w:rsidR="00020733">
        <w:rPr>
          <w:i w:val="0"/>
        </w:rPr>
        <w:t xml:space="preserve"> eura i ostvarene su u  većem iznosu nego prošlu godinu a u </w:t>
      </w:r>
      <w:r w:rsidR="001458F5">
        <w:rPr>
          <w:i w:val="0"/>
        </w:rPr>
        <w:t>manjem iznosu od plana 202</w:t>
      </w:r>
      <w:r w:rsidR="00887005">
        <w:rPr>
          <w:i w:val="0"/>
        </w:rPr>
        <w:t>5</w:t>
      </w:r>
      <w:r w:rsidR="001458F5">
        <w:rPr>
          <w:i w:val="0"/>
        </w:rPr>
        <w:t>. godine.</w:t>
      </w:r>
      <w:r w:rsidR="00020733">
        <w:rPr>
          <w:i w:val="0"/>
        </w:rPr>
        <w:t xml:space="preserve"> Te rashode čine</w:t>
      </w:r>
      <w:r w:rsidRPr="006C7F5F">
        <w:rPr>
          <w:i w:val="0"/>
        </w:rPr>
        <w:t xml:space="preserve"> pomoć</w:t>
      </w:r>
      <w:r w:rsidR="00020733">
        <w:rPr>
          <w:i w:val="0"/>
        </w:rPr>
        <w:t>i</w:t>
      </w:r>
      <w:r w:rsidRPr="006C7F5F">
        <w:rPr>
          <w:i w:val="0"/>
        </w:rPr>
        <w:t xml:space="preserve"> </w:t>
      </w:r>
      <w:r>
        <w:rPr>
          <w:i w:val="0"/>
        </w:rPr>
        <w:t xml:space="preserve">dane </w:t>
      </w:r>
      <w:r w:rsidR="002E41EE">
        <w:rPr>
          <w:i w:val="0"/>
        </w:rPr>
        <w:t>za sufinanciranje materijalnih troškova ureda za katastarsku izmjeru, sufinanciranje troškova zajedničke službe promtnog redarstva,</w:t>
      </w:r>
      <w:r w:rsidR="00020733">
        <w:rPr>
          <w:i w:val="0"/>
        </w:rPr>
        <w:t xml:space="preserve"> pomoć DV Latica za boravak djece s poteškoćama i promoć dječjem vrtiću Ljubičica za boravak djece s područja Općine Posedarje.  </w:t>
      </w:r>
    </w:p>
    <w:p w:rsidR="00020733" w:rsidRDefault="00020733" w:rsidP="00F86CA7">
      <w:pPr>
        <w:pStyle w:val="NoSpacing"/>
        <w:jc w:val="both"/>
        <w:rPr>
          <w:i w:val="0"/>
        </w:rPr>
      </w:pPr>
    </w:p>
    <w:p w:rsidR="00020733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>ostvareni su u iznosu od</w:t>
      </w:r>
      <w:r>
        <w:rPr>
          <w:i w:val="0"/>
        </w:rPr>
        <w:t xml:space="preserve"> </w:t>
      </w:r>
      <w:r w:rsidR="002E41EE">
        <w:rPr>
          <w:i w:val="0"/>
        </w:rPr>
        <w:t>133.093,10</w:t>
      </w:r>
      <w:r w:rsidR="00020733">
        <w:rPr>
          <w:i w:val="0"/>
        </w:rPr>
        <w:t xml:space="preserve"> eura što je u odnosu na izvršenje prošle godine </w:t>
      </w:r>
      <w:r w:rsidR="002E41EE">
        <w:rPr>
          <w:i w:val="0"/>
        </w:rPr>
        <w:t>112,29</w:t>
      </w:r>
      <w:r w:rsidR="00020733">
        <w:rPr>
          <w:i w:val="0"/>
        </w:rPr>
        <w:t>% a</w:t>
      </w:r>
      <w:r w:rsidR="00D76D03">
        <w:rPr>
          <w:i w:val="0"/>
        </w:rPr>
        <w:t xml:space="preserve"> </w:t>
      </w:r>
      <w:r w:rsidR="001458F5">
        <w:rPr>
          <w:i w:val="0"/>
        </w:rPr>
        <w:t>indeks iz</w:t>
      </w:r>
      <w:r w:rsidR="002E41EE">
        <w:rPr>
          <w:i w:val="0"/>
        </w:rPr>
        <w:t>v</w:t>
      </w:r>
      <w:r w:rsidR="001458F5">
        <w:rPr>
          <w:i w:val="0"/>
        </w:rPr>
        <w:t>ršenja u odnosu na plan 202</w:t>
      </w:r>
      <w:r w:rsidR="002E41EE">
        <w:rPr>
          <w:i w:val="0"/>
        </w:rPr>
        <w:t>5</w:t>
      </w:r>
      <w:r w:rsidR="001458F5">
        <w:rPr>
          <w:i w:val="0"/>
        </w:rPr>
        <w:t xml:space="preserve">. godine je </w:t>
      </w:r>
      <w:r w:rsidR="002E41EE">
        <w:rPr>
          <w:i w:val="0"/>
        </w:rPr>
        <w:t>97,51</w:t>
      </w:r>
      <w:r w:rsidR="001458F5">
        <w:rPr>
          <w:i w:val="0"/>
        </w:rPr>
        <w:t>%.</w:t>
      </w:r>
      <w:r w:rsidRPr="00FD37E9">
        <w:rPr>
          <w:i w:val="0"/>
        </w:rPr>
        <w:t xml:space="preserve"> </w:t>
      </w:r>
    </w:p>
    <w:p w:rsidR="002E41EE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Naknade se odnose na naknade građanima i kućanstvima iz proračuna u novcu i naknade građanima i kućanstvima u naravi. Naknade građanima u novcu ostvarne su </w:t>
      </w:r>
      <w:r w:rsidR="002E41EE">
        <w:rPr>
          <w:i w:val="0"/>
        </w:rPr>
        <w:t>u</w:t>
      </w:r>
      <w:r>
        <w:rPr>
          <w:i w:val="0"/>
        </w:rPr>
        <w:t xml:space="preserve"> iznosu od</w:t>
      </w:r>
      <w:r w:rsidR="002E0B7E">
        <w:rPr>
          <w:i w:val="0"/>
        </w:rPr>
        <w:t xml:space="preserve"> </w:t>
      </w:r>
      <w:r w:rsidR="002E41EE">
        <w:rPr>
          <w:i w:val="0"/>
        </w:rPr>
        <w:t>77.400,00</w:t>
      </w:r>
      <w:r w:rsidR="00020733">
        <w:rPr>
          <w:i w:val="0"/>
        </w:rPr>
        <w:t xml:space="preserve"> eura</w:t>
      </w:r>
      <w:r>
        <w:rPr>
          <w:i w:val="0"/>
        </w:rPr>
        <w:t xml:space="preserve"> a odnose se na stipendije za studente</w:t>
      </w:r>
      <w:r w:rsidR="002E41EE">
        <w:rPr>
          <w:i w:val="0"/>
        </w:rPr>
        <w:t>,</w:t>
      </w:r>
      <w:r>
        <w:rPr>
          <w:i w:val="0"/>
        </w:rPr>
        <w:t xml:space="preserve"> naknade za novorođenu djecu</w:t>
      </w:r>
      <w:r w:rsidR="002E41EE">
        <w:rPr>
          <w:i w:val="0"/>
        </w:rPr>
        <w:t>.</w:t>
      </w:r>
    </w:p>
    <w:p w:rsidR="00F86CA7" w:rsidRDefault="002E0B7E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 Naknade građanima i kućanstvima u naravi iznose </w:t>
      </w:r>
      <w:r w:rsidR="00453883">
        <w:rPr>
          <w:i w:val="0"/>
        </w:rPr>
        <w:t>55.</w:t>
      </w:r>
      <w:r w:rsidR="002E41EE">
        <w:rPr>
          <w:i w:val="0"/>
        </w:rPr>
        <w:t>693,10</w:t>
      </w:r>
      <w:r>
        <w:rPr>
          <w:i w:val="0"/>
        </w:rPr>
        <w:t xml:space="preserve"> eura a odnose se na</w:t>
      </w:r>
      <w:r w:rsidR="00F86CA7">
        <w:rPr>
          <w:i w:val="0"/>
        </w:rPr>
        <w:t xml:space="preserve"> sufinanciranje prijevoza za srednjoškolce </w:t>
      </w:r>
      <w:r w:rsidR="00453883">
        <w:rPr>
          <w:i w:val="0"/>
        </w:rPr>
        <w:t xml:space="preserve"> i troškove sufinanciranja prijevoza jedne autobusne linije na relaciji Posedarje/Zadra</w:t>
      </w:r>
      <w:r w:rsidR="002E41EE">
        <w:rPr>
          <w:i w:val="0"/>
        </w:rPr>
        <w:t>,</w:t>
      </w:r>
      <w:r>
        <w:rPr>
          <w:i w:val="0"/>
        </w:rPr>
        <w:t xml:space="preserve"> troškovi stanovanja</w:t>
      </w:r>
      <w:r w:rsidR="002E41EE">
        <w:rPr>
          <w:i w:val="0"/>
        </w:rPr>
        <w:t xml:space="preserve"> štićenika Centra za socilanu skrb, s</w:t>
      </w:r>
      <w:r w:rsidR="00F86CA7">
        <w:rPr>
          <w:i w:val="0"/>
        </w:rPr>
        <w:t>ufinanciranje troškova za likovne kutije i radnih bilježnica za učenike osnovne škole</w:t>
      </w:r>
      <w:r w:rsidR="002E41EE">
        <w:rPr>
          <w:i w:val="0"/>
        </w:rPr>
        <w:t>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F86CA7" w:rsidP="00F86CA7">
      <w:pPr>
        <w:pStyle w:val="NoSpacing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</w:t>
      </w:r>
      <w:r>
        <w:rPr>
          <w:i w:val="0"/>
        </w:rPr>
        <w:t>2</w:t>
      </w:r>
      <w:r w:rsidR="002E41EE">
        <w:rPr>
          <w:i w:val="0"/>
        </w:rPr>
        <w:t>5</w:t>
      </w:r>
      <w:r w:rsidRPr="00FD37E9">
        <w:rPr>
          <w:i w:val="0"/>
        </w:rPr>
        <w:t>.g</w:t>
      </w:r>
      <w:r>
        <w:rPr>
          <w:i w:val="0"/>
        </w:rPr>
        <w:t>odini</w:t>
      </w:r>
      <w:r w:rsidRPr="00FD37E9">
        <w:rPr>
          <w:i w:val="0"/>
        </w:rPr>
        <w:t xml:space="preserve"> iznose </w:t>
      </w:r>
      <w:r w:rsidR="002E41EE">
        <w:rPr>
          <w:i w:val="0"/>
        </w:rPr>
        <w:t>587.279,37</w:t>
      </w:r>
      <w:r w:rsidR="002E0B7E">
        <w:rPr>
          <w:i w:val="0"/>
        </w:rPr>
        <w:t xml:space="preserve"> eura</w:t>
      </w:r>
      <w:r w:rsidRPr="00FD37E9">
        <w:rPr>
          <w:i w:val="0"/>
        </w:rPr>
        <w:t xml:space="preserve"> i indeks ostvarenja u odnosu na </w:t>
      </w:r>
      <w:r w:rsidR="002E0B7E">
        <w:rPr>
          <w:i w:val="0"/>
        </w:rPr>
        <w:t xml:space="preserve">izvršenje prošle godine je </w:t>
      </w:r>
      <w:r w:rsidR="00AD53DC">
        <w:rPr>
          <w:i w:val="0"/>
        </w:rPr>
        <w:t>1</w:t>
      </w:r>
      <w:r w:rsidR="002E41EE">
        <w:rPr>
          <w:i w:val="0"/>
        </w:rPr>
        <w:t>24,09%.</w:t>
      </w:r>
      <w:r w:rsidR="002E0B7E">
        <w:rPr>
          <w:i w:val="0"/>
        </w:rPr>
        <w:t xml:space="preserve"> </w:t>
      </w:r>
      <w:r>
        <w:rPr>
          <w:i w:val="0"/>
        </w:rPr>
        <w:t>Ostali rashodi odnose se na pomoći i donacije dane na temelju programa javnih potreba u kulturi, sportu, predškolskom odgoju i školstvu i i socijalnoj skrbi.</w:t>
      </w:r>
      <w:r w:rsidR="002E0B7E">
        <w:rPr>
          <w:i w:val="0"/>
        </w:rPr>
        <w:t xml:space="preserve"> </w:t>
      </w:r>
    </w:p>
    <w:p w:rsidR="002E0B7E" w:rsidRDefault="002E0B7E" w:rsidP="00F86CA7">
      <w:pPr>
        <w:pStyle w:val="NoSpacing"/>
        <w:jc w:val="both"/>
        <w:rPr>
          <w:i w:val="0"/>
        </w:rPr>
      </w:pPr>
      <w:r>
        <w:rPr>
          <w:i w:val="0"/>
        </w:rPr>
        <w:t>Općina Posedarje je u 202</w:t>
      </w:r>
      <w:r w:rsidR="002E41EE">
        <w:rPr>
          <w:i w:val="0"/>
        </w:rPr>
        <w:t>5</w:t>
      </w:r>
      <w:r>
        <w:rPr>
          <w:i w:val="0"/>
        </w:rPr>
        <w:t xml:space="preserve">.g. </w:t>
      </w:r>
      <w:r w:rsidR="00AD53DC">
        <w:rPr>
          <w:i w:val="0"/>
        </w:rPr>
        <w:t xml:space="preserve">je nastavlia s isplatom </w:t>
      </w:r>
      <w:r>
        <w:rPr>
          <w:i w:val="0"/>
        </w:rPr>
        <w:t xml:space="preserve">pomoći </w:t>
      </w:r>
      <w:r w:rsidR="002E41EE">
        <w:rPr>
          <w:i w:val="0"/>
        </w:rPr>
        <w:t>svojim umirovljenicima za Božić i Uskrs.</w:t>
      </w:r>
    </w:p>
    <w:p w:rsidR="00F86CA7" w:rsidRDefault="00F86CA7" w:rsidP="00F86CA7">
      <w:pPr>
        <w:pStyle w:val="NoSpacing"/>
        <w:jc w:val="both"/>
        <w:rPr>
          <w:i w:val="0"/>
        </w:rPr>
      </w:pPr>
    </w:p>
    <w:p w:rsidR="00F86CA7" w:rsidRDefault="002E0B7E" w:rsidP="00F86CA7">
      <w:pPr>
        <w:pStyle w:val="NoSpacing"/>
        <w:jc w:val="both"/>
        <w:rPr>
          <w:b/>
          <w:i w:val="0"/>
        </w:rPr>
      </w:pPr>
      <w:r>
        <w:rPr>
          <w:b/>
          <w:i w:val="0"/>
        </w:rPr>
        <w:t>3</w:t>
      </w:r>
      <w:r w:rsidR="00F86CA7" w:rsidRPr="00FD37E9">
        <w:rPr>
          <w:b/>
          <w:i w:val="0"/>
        </w:rPr>
        <w:t xml:space="preserve">.2.2. </w:t>
      </w:r>
      <w:r w:rsidR="00F86CA7">
        <w:rPr>
          <w:b/>
          <w:i w:val="0"/>
        </w:rPr>
        <w:t>R</w:t>
      </w:r>
      <w:r w:rsidR="00F86CA7" w:rsidRPr="00FD37E9">
        <w:rPr>
          <w:b/>
          <w:i w:val="0"/>
        </w:rPr>
        <w:t>ashodi za nabavu nefinancijske imovine</w:t>
      </w:r>
    </w:p>
    <w:p w:rsidR="00AD53DC" w:rsidRDefault="00F86CA7" w:rsidP="00F86CA7">
      <w:pPr>
        <w:pStyle w:val="NoSpacing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887005">
        <w:rPr>
          <w:i w:val="0"/>
        </w:rPr>
        <w:t xml:space="preserve">1.266.863,73 </w:t>
      </w:r>
      <w:r w:rsidR="00056FBF">
        <w:rPr>
          <w:i w:val="0"/>
        </w:rPr>
        <w:t xml:space="preserve"> eur</w:t>
      </w:r>
      <w:r w:rsidR="004205F6">
        <w:rPr>
          <w:i w:val="0"/>
        </w:rPr>
        <w:t>a</w:t>
      </w:r>
      <w:r w:rsidR="00056FBF">
        <w:rPr>
          <w:i w:val="0"/>
        </w:rPr>
        <w:t xml:space="preserve"> što je </w:t>
      </w:r>
      <w:r w:rsidR="00887005">
        <w:rPr>
          <w:i w:val="0"/>
        </w:rPr>
        <w:t>169,35</w:t>
      </w:r>
      <w:r w:rsidR="00056FBF">
        <w:rPr>
          <w:i w:val="0"/>
        </w:rPr>
        <w:t xml:space="preserve">% u odnosu na izvršenje prošle godine a </w:t>
      </w:r>
      <w:r w:rsidR="00887005">
        <w:rPr>
          <w:i w:val="0"/>
        </w:rPr>
        <w:t>36,34%</w:t>
      </w:r>
      <w:r w:rsidR="00056FBF">
        <w:rPr>
          <w:i w:val="0"/>
        </w:rPr>
        <w:t xml:space="preserve"> u odnosu na plan 202</w:t>
      </w:r>
      <w:r w:rsidR="00887005">
        <w:rPr>
          <w:i w:val="0"/>
        </w:rPr>
        <w:t>5</w:t>
      </w:r>
      <w:r w:rsidR="00056FBF">
        <w:rPr>
          <w:i w:val="0"/>
        </w:rPr>
        <w:t>. godine</w:t>
      </w:r>
      <w:r w:rsidR="00AD53DC">
        <w:rPr>
          <w:i w:val="0"/>
        </w:rPr>
        <w:t>.</w:t>
      </w:r>
      <w:r w:rsidR="00056FBF">
        <w:rPr>
          <w:i w:val="0"/>
        </w:rPr>
        <w:t xml:space="preserve"> </w:t>
      </w:r>
    </w:p>
    <w:p w:rsidR="00A31C41" w:rsidRDefault="00F86CA7" w:rsidP="00F86CA7">
      <w:pPr>
        <w:pStyle w:val="NoSpacing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4205F6">
        <w:rPr>
          <w:i w:val="0"/>
        </w:rPr>
        <w:t>369.413,27</w:t>
      </w:r>
      <w:r w:rsidR="00056FBF">
        <w:rPr>
          <w:i w:val="0"/>
        </w:rPr>
        <w:t xml:space="preserve"> eur</w:t>
      </w:r>
      <w:r w:rsidR="006877CA">
        <w:rPr>
          <w:i w:val="0"/>
        </w:rPr>
        <w:t>a</w:t>
      </w:r>
      <w:r w:rsidR="004205F6">
        <w:rPr>
          <w:i w:val="0"/>
        </w:rPr>
        <w:t>.</w:t>
      </w:r>
      <w:r w:rsidR="00056FBF">
        <w:rPr>
          <w:i w:val="0"/>
        </w:rPr>
        <w:t xml:space="preserve"> </w:t>
      </w:r>
      <w:r w:rsidR="004205F6">
        <w:rPr>
          <w:i w:val="0"/>
        </w:rPr>
        <w:t>U masi tih troškova nalaze se troškovi za sanaciju vodovodne mreže u Posedarju u iznosu od 96.902,00 eura, troškovi izrade projektne dokumentacije u iznosu od 272.511,27 eura.</w:t>
      </w:r>
      <w:r w:rsidR="003107A7">
        <w:rPr>
          <w:i w:val="0"/>
        </w:rPr>
        <w:t xml:space="preserve"> </w:t>
      </w:r>
      <w:r w:rsidR="00A31C41">
        <w:rPr>
          <w:i w:val="0"/>
        </w:rPr>
        <w:t xml:space="preserve">Rashodi za nabavu nefinancijske proizvedene imovine iznose </w:t>
      </w:r>
      <w:r w:rsidR="004205F6">
        <w:rPr>
          <w:i w:val="0"/>
        </w:rPr>
        <w:t>897.450,46</w:t>
      </w:r>
      <w:r w:rsidR="003107A7">
        <w:rPr>
          <w:i w:val="0"/>
        </w:rPr>
        <w:t xml:space="preserve"> </w:t>
      </w:r>
      <w:r w:rsidR="00A31C41">
        <w:rPr>
          <w:i w:val="0"/>
        </w:rPr>
        <w:t xml:space="preserve">eura i izvršeni su u </w:t>
      </w:r>
      <w:r w:rsidR="004205F6">
        <w:rPr>
          <w:i w:val="0"/>
        </w:rPr>
        <w:t>većem opsegu nego u 2024.godini a indeks izvršenja u odnosu na plan 2025.godine je 41,32%.</w:t>
      </w:r>
    </w:p>
    <w:p w:rsidR="00895895" w:rsidRDefault="00A31C41" w:rsidP="00895895">
      <w:pPr>
        <w:pStyle w:val="NoSpacing"/>
        <w:jc w:val="both"/>
        <w:rPr>
          <w:i w:val="0"/>
        </w:rPr>
      </w:pPr>
      <w:r>
        <w:rPr>
          <w:i w:val="0"/>
        </w:rPr>
        <w:t>Te rashode čine rashodi za građevinske objekte  u iznosu od</w:t>
      </w:r>
      <w:r w:rsidR="004205F6">
        <w:rPr>
          <w:i w:val="0"/>
        </w:rPr>
        <w:t xml:space="preserve"> 721.274,23 </w:t>
      </w:r>
      <w:r w:rsidR="003107A7">
        <w:rPr>
          <w:i w:val="0"/>
        </w:rPr>
        <w:t xml:space="preserve"> eura</w:t>
      </w:r>
      <w:r w:rsidR="004205F6">
        <w:rPr>
          <w:i w:val="0"/>
        </w:rPr>
        <w:t xml:space="preserve">. Ti rashodi se </w:t>
      </w:r>
      <w:r>
        <w:rPr>
          <w:i w:val="0"/>
        </w:rPr>
        <w:t>odnose  na</w:t>
      </w:r>
      <w:r w:rsidR="00D64A25">
        <w:rPr>
          <w:i w:val="0"/>
        </w:rPr>
        <w:t xml:space="preserve"> </w:t>
      </w:r>
      <w:r w:rsidR="006877CA">
        <w:rPr>
          <w:i w:val="0"/>
        </w:rPr>
        <w:t>održavanje</w:t>
      </w:r>
      <w:r w:rsidR="00D64A25">
        <w:rPr>
          <w:i w:val="0"/>
        </w:rPr>
        <w:t xml:space="preserve"> </w:t>
      </w:r>
      <w:r w:rsidR="004205F6">
        <w:rPr>
          <w:i w:val="0"/>
        </w:rPr>
        <w:t>puteva u stambenoj zoni Čelinka/Krši u Posedarju u iznosu od 85.823,50 eura te 635.450,73 eura odnosi se na ostale građevinske objekte (energetske objekte/vanjska rasvjeta, a ostatak se najvećim dijelom odnosi na radove u groblju u Posedarju na završetak gradnje zgrade za ispraćaj i uređenje okoliša oko novog groblja).</w:t>
      </w:r>
    </w:p>
    <w:p w:rsidR="00F86CA7" w:rsidRDefault="00895895" w:rsidP="00895895">
      <w:pPr>
        <w:pStyle w:val="NoSpacing"/>
        <w:jc w:val="both"/>
        <w:rPr>
          <w:i w:val="0"/>
        </w:rPr>
      </w:pPr>
      <w:r>
        <w:rPr>
          <w:i w:val="0"/>
        </w:rPr>
        <w:t xml:space="preserve">Troškovi nabavke postojenja i opreme izvršeni su u iznosu od 164.801,23 eura a odnose se na kupnju uredskog namještaja i računalne opreme za potrebe ureda katastarske izmjere, </w:t>
      </w:r>
      <w:r w:rsidR="003107A7">
        <w:rPr>
          <w:i w:val="0"/>
        </w:rPr>
        <w:t xml:space="preserve"> </w:t>
      </w:r>
      <w:r>
        <w:rPr>
          <w:i w:val="0"/>
        </w:rPr>
        <w:t xml:space="preserve">troškovi nabavke istrumenata, uređaja odnose se na nabavku </w:t>
      </w:r>
      <w:r w:rsidR="006877CA">
        <w:rPr>
          <w:i w:val="0"/>
        </w:rPr>
        <w:t>istih</w:t>
      </w:r>
      <w:r>
        <w:rPr>
          <w:i w:val="0"/>
        </w:rPr>
        <w:t xml:space="preserve"> za potrebe komunalnog pogona, sportska oprema se </w:t>
      </w:r>
      <w:r>
        <w:rPr>
          <w:i w:val="0"/>
        </w:rPr>
        <w:lastRenderedPageBreak/>
        <w:t>odnosi na nabavku sprava za vježbanje na igralištima a nabavka glazbene opreme se odnosi na nabavku opreme ozvučenja u zgradi za ispraćaj u Posedarju.</w:t>
      </w:r>
    </w:p>
    <w:p w:rsidR="00895895" w:rsidRDefault="005B5B18" w:rsidP="00895895">
      <w:pPr>
        <w:pStyle w:val="NoSpacing"/>
        <w:jc w:val="both"/>
        <w:rPr>
          <w:i w:val="0"/>
        </w:rPr>
      </w:pPr>
      <w:r>
        <w:rPr>
          <w:i w:val="0"/>
        </w:rPr>
        <w:t>T</w:t>
      </w:r>
      <w:r w:rsidR="00895895">
        <w:rPr>
          <w:i w:val="0"/>
        </w:rPr>
        <w:t>roškovi nabavke prijevoznih sredstva izvršeni su u iznosu od 11.375,00 eura a odnosi se na otkup općinskog prijevoznog sredstva nakon isteka operativnog leasinga.</w:t>
      </w:r>
    </w:p>
    <w:p w:rsidR="00895895" w:rsidRDefault="00895895" w:rsidP="00F86CA7">
      <w:pPr>
        <w:pStyle w:val="NoSpacing"/>
        <w:jc w:val="both"/>
        <w:rPr>
          <w:rFonts w:ascii="Calibri" w:eastAsia="Times New Roman" w:hAnsi="Calibri" w:cs="Times New Roman"/>
          <w:b/>
          <w:i w:val="0"/>
        </w:rPr>
      </w:pPr>
    </w:p>
    <w:p w:rsidR="00F86CA7" w:rsidRPr="00590B00" w:rsidRDefault="00590B00" w:rsidP="00F86CA7">
      <w:pPr>
        <w:pStyle w:val="NoSpacing"/>
        <w:jc w:val="both"/>
        <w:rPr>
          <w:rFonts w:ascii="Calibri" w:eastAsia="Times New Roman" w:hAnsi="Calibri" w:cs="Times New Roman"/>
          <w:b/>
          <w:i w:val="0"/>
        </w:rPr>
      </w:pPr>
      <w:r w:rsidRPr="00590B00">
        <w:rPr>
          <w:rFonts w:ascii="Calibri" w:eastAsia="Times New Roman" w:hAnsi="Calibri" w:cs="Times New Roman"/>
          <w:b/>
          <w:i w:val="0"/>
        </w:rPr>
        <w:t>3.3. Rezultat poslovanja</w:t>
      </w:r>
    </w:p>
    <w:p w:rsidR="00F86CA7" w:rsidRDefault="00F86CA7" w:rsidP="00F86CA7">
      <w:pPr>
        <w:pStyle w:val="NoSpacing"/>
        <w:jc w:val="both"/>
        <w:rPr>
          <w:rFonts w:ascii="Calibri" w:eastAsia="Times New Roman" w:hAnsi="Calibri" w:cs="Times New Roman"/>
          <w:i w:val="0"/>
        </w:rPr>
      </w:pPr>
    </w:p>
    <w:p w:rsidR="00590B00" w:rsidRDefault="00590B00" w:rsidP="00590B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2431CA" w:rsidRPr="009B2D02" w:rsidTr="00A204CE"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NAZIV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USKUPNI RASHODI I IZDACI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VIŠAK/MANAJK PRENESENI</w:t>
            </w:r>
          </w:p>
        </w:tc>
        <w:tc>
          <w:tcPr>
            <w:tcW w:w="1510" w:type="dxa"/>
            <w:shd w:val="clear" w:color="auto" w:fill="B8CCE4" w:themeFill="accent1" w:themeFillTint="66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 RASPLOOŽIV U SLIJEDEĆEM RAZDOBLJU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4.888.791,53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4.932.774,24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-43.982,71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458.252,68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414.269,97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9B2D02" w:rsidRDefault="002431CA" w:rsidP="00A204C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439.367,07</w:t>
            </w:r>
          </w:p>
        </w:tc>
        <w:tc>
          <w:tcPr>
            <w:tcW w:w="1510" w:type="dxa"/>
          </w:tcPr>
          <w:p w:rsidR="002431CA" w:rsidRPr="009B2D02" w:rsidRDefault="005B5B18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460.797,84</w:t>
            </w:r>
          </w:p>
        </w:tc>
        <w:tc>
          <w:tcPr>
            <w:tcW w:w="1510" w:type="dxa"/>
          </w:tcPr>
          <w:p w:rsidR="002431CA" w:rsidRPr="009B2D02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-21.430,77</w:t>
            </w:r>
          </w:p>
        </w:tc>
        <w:tc>
          <w:tcPr>
            <w:tcW w:w="1510" w:type="dxa"/>
          </w:tcPr>
          <w:p w:rsidR="002431CA" w:rsidRPr="009B2D02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1.261,78</w:t>
            </w:r>
          </w:p>
        </w:tc>
        <w:tc>
          <w:tcPr>
            <w:tcW w:w="1510" w:type="dxa"/>
          </w:tcPr>
          <w:p w:rsidR="002431CA" w:rsidRPr="009B2D02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-20.168,99</w:t>
            </w:r>
          </w:p>
        </w:tc>
      </w:tr>
      <w:tr w:rsidR="002431CA" w:rsidRPr="009B2D02" w:rsidTr="00A204CE"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Eliminiranje konta 671 i 367</w:t>
            </w:r>
          </w:p>
        </w:tc>
        <w:tc>
          <w:tcPr>
            <w:tcW w:w="1510" w:type="dxa"/>
          </w:tcPr>
          <w:p w:rsidR="002431CA" w:rsidRPr="00B44ADE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381.976,53</w:t>
            </w:r>
          </w:p>
        </w:tc>
        <w:tc>
          <w:tcPr>
            <w:tcW w:w="1510" w:type="dxa"/>
          </w:tcPr>
          <w:p w:rsidR="002431CA" w:rsidRPr="00B44ADE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381.976,53</w:t>
            </w: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2431CA" w:rsidRPr="00B44ADE" w:rsidRDefault="002431CA" w:rsidP="00A204C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431CA" w:rsidRPr="00E41005" w:rsidTr="00A204CE">
        <w:tc>
          <w:tcPr>
            <w:tcW w:w="1510" w:type="dxa"/>
          </w:tcPr>
          <w:p w:rsidR="002431CA" w:rsidRPr="00E41005" w:rsidRDefault="002431CA" w:rsidP="00A204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005">
              <w:rPr>
                <w:rFonts w:ascii="Times New Roman" w:hAnsi="Times New Roman" w:cs="Times New Roman"/>
                <w:b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:rsidR="002431CA" w:rsidRPr="00E41005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4.946.182,07</w:t>
            </w:r>
          </w:p>
        </w:tc>
        <w:tc>
          <w:tcPr>
            <w:tcW w:w="1510" w:type="dxa"/>
          </w:tcPr>
          <w:p w:rsidR="002431CA" w:rsidRPr="00E41005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5.011.595,55</w:t>
            </w:r>
          </w:p>
        </w:tc>
        <w:tc>
          <w:tcPr>
            <w:tcW w:w="1510" w:type="dxa"/>
          </w:tcPr>
          <w:p w:rsidR="002431CA" w:rsidRPr="00E41005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-65.413,48</w:t>
            </w:r>
          </w:p>
        </w:tc>
        <w:tc>
          <w:tcPr>
            <w:tcW w:w="1510" w:type="dxa"/>
          </w:tcPr>
          <w:p w:rsidR="002431CA" w:rsidRPr="00E41005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459.514,46</w:t>
            </w:r>
          </w:p>
        </w:tc>
        <w:tc>
          <w:tcPr>
            <w:tcW w:w="1510" w:type="dxa"/>
          </w:tcPr>
          <w:p w:rsidR="002431CA" w:rsidRPr="00E41005" w:rsidRDefault="00837AA7" w:rsidP="00A204C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394.100,98</w:t>
            </w:r>
          </w:p>
        </w:tc>
      </w:tr>
    </w:tbl>
    <w:p w:rsidR="00590B00" w:rsidRPr="00EE6842" w:rsidRDefault="00590B00" w:rsidP="00590B00">
      <w:pPr>
        <w:pStyle w:val="NoSpacing"/>
        <w:jc w:val="both"/>
        <w:rPr>
          <w:b/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Općina Posedarje je u 202</w:t>
      </w:r>
      <w:r w:rsidR="00837AA7">
        <w:rPr>
          <w:i w:val="0"/>
        </w:rPr>
        <w:t>5</w:t>
      </w:r>
      <w:r>
        <w:rPr>
          <w:i w:val="0"/>
        </w:rPr>
        <w:t xml:space="preserve">. godini ostvarila ukupne prihode u iznosu od </w:t>
      </w:r>
      <w:r w:rsidR="00837AA7">
        <w:rPr>
          <w:i w:val="0"/>
        </w:rPr>
        <w:t>4.888.791,53</w:t>
      </w:r>
      <w:r w:rsidR="00EE68BD">
        <w:rPr>
          <w:i w:val="0"/>
        </w:rPr>
        <w:t xml:space="preserve"> eura</w:t>
      </w:r>
      <w:r>
        <w:rPr>
          <w:i w:val="0"/>
        </w:rPr>
        <w:t>, ukupni rashodi za 202</w:t>
      </w:r>
      <w:r w:rsidR="00837AA7">
        <w:rPr>
          <w:i w:val="0"/>
        </w:rPr>
        <w:t>5</w:t>
      </w:r>
      <w:r>
        <w:rPr>
          <w:i w:val="0"/>
        </w:rPr>
        <w:t xml:space="preserve">. godinu iznosili su </w:t>
      </w:r>
      <w:r w:rsidR="00837AA7">
        <w:rPr>
          <w:i w:val="0"/>
        </w:rPr>
        <w:t>4.4932.774,24</w:t>
      </w:r>
      <w:r w:rsidR="00EE68BD">
        <w:rPr>
          <w:i w:val="0"/>
        </w:rPr>
        <w:t xml:space="preserve"> eura</w:t>
      </w:r>
      <w:r>
        <w:rPr>
          <w:i w:val="0"/>
        </w:rPr>
        <w:t xml:space="preserve"> . Rezultat poslovanja 202</w:t>
      </w:r>
      <w:r w:rsidR="00837AA7">
        <w:rPr>
          <w:i w:val="0"/>
        </w:rPr>
        <w:t>5</w:t>
      </w:r>
      <w:r>
        <w:rPr>
          <w:i w:val="0"/>
        </w:rPr>
        <w:t xml:space="preserve"> godine je ostvareni </w:t>
      </w:r>
      <w:r w:rsidR="00837AA7">
        <w:rPr>
          <w:i w:val="0"/>
        </w:rPr>
        <w:t>manjak</w:t>
      </w:r>
      <w:r>
        <w:rPr>
          <w:i w:val="0"/>
        </w:rPr>
        <w:t xml:space="preserve"> prihoda  u iznosu od </w:t>
      </w:r>
      <w:r w:rsidR="002431CA">
        <w:rPr>
          <w:i w:val="0"/>
        </w:rPr>
        <w:t xml:space="preserve"> </w:t>
      </w:r>
      <w:r w:rsidR="00837AA7">
        <w:rPr>
          <w:i w:val="0"/>
        </w:rPr>
        <w:t>43.982,71</w:t>
      </w:r>
      <w:r w:rsidR="00EE68BD">
        <w:rPr>
          <w:i w:val="0"/>
        </w:rPr>
        <w:t xml:space="preserve"> eura.</w:t>
      </w:r>
      <w:r>
        <w:rPr>
          <w:i w:val="0"/>
        </w:rPr>
        <w:t xml:space="preserve"> Međutim, s obzirom na preneseni </w:t>
      </w:r>
      <w:r w:rsidR="00EE68BD">
        <w:rPr>
          <w:i w:val="0"/>
        </w:rPr>
        <w:t xml:space="preserve">višak </w:t>
      </w:r>
      <w:r>
        <w:rPr>
          <w:i w:val="0"/>
        </w:rPr>
        <w:t xml:space="preserve"> iz prethodnih godina  koji iznosi </w:t>
      </w:r>
      <w:r w:rsidR="00837AA7">
        <w:rPr>
          <w:i w:val="0"/>
        </w:rPr>
        <w:t>458.252,68</w:t>
      </w:r>
      <w:r w:rsidR="00EE68BD">
        <w:rPr>
          <w:i w:val="0"/>
        </w:rPr>
        <w:t xml:space="preserve"> eura</w:t>
      </w:r>
      <w:r>
        <w:rPr>
          <w:i w:val="0"/>
        </w:rPr>
        <w:t xml:space="preserve">  u slijedeće razdoblje prenosi se proračunski višak u iznosu od </w:t>
      </w:r>
      <w:r w:rsidR="00837AA7">
        <w:rPr>
          <w:i w:val="0"/>
        </w:rPr>
        <w:t>414.269,97</w:t>
      </w:r>
      <w:r w:rsidR="00EE68BD">
        <w:rPr>
          <w:i w:val="0"/>
        </w:rPr>
        <w:t xml:space="preserve"> eura.</w:t>
      </w:r>
    </w:p>
    <w:p w:rsidR="00590B00" w:rsidRDefault="00590B00" w:rsidP="00590B00">
      <w:pPr>
        <w:pStyle w:val="NoSpacing"/>
        <w:jc w:val="both"/>
        <w:rPr>
          <w:i w:val="0"/>
        </w:rPr>
      </w:pPr>
    </w:p>
    <w:p w:rsidR="00590B00" w:rsidRDefault="00590B00" w:rsidP="00590B00">
      <w:pPr>
        <w:pStyle w:val="NoSpacing"/>
        <w:jc w:val="both"/>
        <w:rPr>
          <w:i w:val="0"/>
        </w:rPr>
      </w:pPr>
      <w:r>
        <w:rPr>
          <w:i w:val="0"/>
        </w:rPr>
        <w:t>Proračunski korisnik Dječji vrtić Cvrčak Posedarje u 202</w:t>
      </w:r>
      <w:r w:rsidR="00837AA7">
        <w:rPr>
          <w:i w:val="0"/>
        </w:rPr>
        <w:t>5</w:t>
      </w:r>
      <w:r>
        <w:rPr>
          <w:i w:val="0"/>
        </w:rPr>
        <w:t xml:space="preserve">. godini ostvario je </w:t>
      </w:r>
      <w:r w:rsidR="00ED7E86">
        <w:rPr>
          <w:i w:val="0"/>
        </w:rPr>
        <w:t>57.390,54 eura</w:t>
      </w:r>
      <w:r w:rsidR="00EE68BD">
        <w:rPr>
          <w:i w:val="0"/>
        </w:rPr>
        <w:t xml:space="preserve"> </w:t>
      </w:r>
      <w:r w:rsidR="00ED7E86">
        <w:rPr>
          <w:i w:val="0"/>
        </w:rPr>
        <w:t>namjenskih prihoda i primitaka nakon eliminacije sredstava iz nadležnog proračuna</w:t>
      </w:r>
      <w:r>
        <w:rPr>
          <w:i w:val="0"/>
        </w:rPr>
        <w:t xml:space="preserve"> </w:t>
      </w:r>
      <w:r w:rsidR="00ED7E86">
        <w:rPr>
          <w:i w:val="0"/>
        </w:rPr>
        <w:t>te 78.821,31 eura</w:t>
      </w:r>
      <w:r>
        <w:rPr>
          <w:i w:val="0"/>
        </w:rPr>
        <w:t xml:space="preserve"> rashoda i izdataka financiranih tim istim prihodima. Financijski rezultat Dv Cvrčak Posedarje je ostvareni </w:t>
      </w:r>
      <w:r w:rsidR="00ED7E86">
        <w:rPr>
          <w:i w:val="0"/>
        </w:rPr>
        <w:t xml:space="preserve">manjak </w:t>
      </w:r>
      <w:r>
        <w:rPr>
          <w:i w:val="0"/>
        </w:rPr>
        <w:t xml:space="preserve"> prihoda poslovanja u iznosu od </w:t>
      </w:r>
      <w:r w:rsidR="00ED7E86">
        <w:rPr>
          <w:i w:val="0"/>
        </w:rPr>
        <w:t>21.430,77</w:t>
      </w:r>
      <w:r w:rsidR="00EE68BD">
        <w:rPr>
          <w:i w:val="0"/>
        </w:rPr>
        <w:t xml:space="preserve"> eura</w:t>
      </w:r>
      <w:r>
        <w:rPr>
          <w:i w:val="0"/>
        </w:rPr>
        <w:t>. S obzirom na preneseni višak iz prethodnih godina rezultat u naredno razdoblje prenosi se</w:t>
      </w:r>
      <w:r w:rsidR="00A4129C">
        <w:rPr>
          <w:i w:val="0"/>
        </w:rPr>
        <w:t xml:space="preserve"> manjak</w:t>
      </w:r>
      <w:r>
        <w:rPr>
          <w:i w:val="0"/>
        </w:rPr>
        <w:t xml:space="preserve"> od </w:t>
      </w:r>
      <w:r w:rsidR="00A4129C">
        <w:rPr>
          <w:i w:val="0"/>
        </w:rPr>
        <w:t>20.168,99 eura.</w:t>
      </w:r>
    </w:p>
    <w:p w:rsidR="00A4129C" w:rsidRDefault="00A4129C" w:rsidP="00590B00">
      <w:pPr>
        <w:pStyle w:val="NoSpacing"/>
        <w:jc w:val="both"/>
        <w:rPr>
          <w:i w:val="0"/>
        </w:rPr>
      </w:pPr>
    </w:p>
    <w:p w:rsidR="00392EB4" w:rsidRDefault="00392EB4" w:rsidP="00590B00">
      <w:pPr>
        <w:pStyle w:val="NoSpacing"/>
        <w:jc w:val="both"/>
        <w:rPr>
          <w:i w:val="0"/>
        </w:rPr>
      </w:pPr>
    </w:p>
    <w:p w:rsidR="00392EB4" w:rsidRDefault="00392EB4" w:rsidP="00590B00">
      <w:pPr>
        <w:pStyle w:val="NoSpacing"/>
        <w:jc w:val="both"/>
        <w:rPr>
          <w:i w:val="0"/>
        </w:rPr>
      </w:pPr>
    </w:p>
    <w:p w:rsidR="00392EB4" w:rsidRDefault="00392EB4" w:rsidP="00590B00">
      <w:pPr>
        <w:pStyle w:val="NoSpacing"/>
        <w:jc w:val="both"/>
        <w:rPr>
          <w:i w:val="0"/>
        </w:rPr>
      </w:pPr>
    </w:p>
    <w:p w:rsidR="00EE68BD" w:rsidRDefault="00EE68BD" w:rsidP="00590B00">
      <w:pPr>
        <w:pStyle w:val="NoSpacing"/>
        <w:jc w:val="both"/>
        <w:rPr>
          <w:i w:val="0"/>
        </w:rPr>
      </w:pPr>
    </w:p>
    <w:p w:rsidR="00EE68BD" w:rsidRPr="00EE68BD" w:rsidRDefault="00EE68BD" w:rsidP="00EE68BD">
      <w:pPr>
        <w:pStyle w:val="NoSpacing"/>
        <w:shd w:val="clear" w:color="auto" w:fill="FFFF00"/>
        <w:jc w:val="both"/>
        <w:rPr>
          <w:b/>
          <w:i w:val="0"/>
        </w:rPr>
      </w:pPr>
      <w:r w:rsidRPr="00EE68BD">
        <w:rPr>
          <w:b/>
          <w:i w:val="0"/>
        </w:rPr>
        <w:t>Obrazloženje posebnog dijela:</w:t>
      </w:r>
    </w:p>
    <w:p w:rsidR="0045438B" w:rsidRPr="00E30F75" w:rsidRDefault="0045438B" w:rsidP="00E30F75">
      <w:pPr>
        <w:pStyle w:val="NoSpacing"/>
        <w:jc w:val="both"/>
        <w:rPr>
          <w:i w:val="0"/>
        </w:rPr>
      </w:pPr>
    </w:p>
    <w:p w:rsidR="00E30F75" w:rsidRPr="00201BC5" w:rsidRDefault="00201BC5" w:rsidP="002E2D53">
      <w:pPr>
        <w:pStyle w:val="NoSpacing"/>
        <w:rPr>
          <w:i w:val="0"/>
        </w:rPr>
      </w:pPr>
      <w:r w:rsidRPr="00201BC5">
        <w:rPr>
          <w:i w:val="0"/>
        </w:rPr>
        <w:t>Obra</w:t>
      </w:r>
      <w:r>
        <w:rPr>
          <w:i w:val="0"/>
        </w:rPr>
        <w:t>zloženje posebnog dijela izvještaja o izvršenju proračuna za proračunsku godinu temeljis e na obrazloženju proračuna i financijskih planova proračunskih korisnika, a sadrži obrazložeenje izvršenja programa koje se daje kroz obrazloženje aktivnosti i projekata zajedno s coljevima i pokazateljima uspješnosti rtealizacije tih ciljeva koji se sastoje od pokazatelja učinka i pokazatelja rezultata.</w:t>
      </w: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</w:p>
    <w:p w:rsidR="00201BC5" w:rsidRDefault="00201BC5" w:rsidP="002E2D53">
      <w:pPr>
        <w:pStyle w:val="NoSpacing"/>
        <w:rPr>
          <w:b/>
          <w:i w:val="0"/>
        </w:rPr>
      </w:pPr>
      <w:r>
        <w:rPr>
          <w:b/>
          <w:i w:val="0"/>
        </w:rPr>
        <w:t>3.4 Izvršenje po programima iz Posebnog dijela izvršenje plana proračuna</w:t>
      </w:r>
    </w:p>
    <w:p w:rsidR="00201BC5" w:rsidRPr="000C7E6D" w:rsidRDefault="00201BC5" w:rsidP="005012CB">
      <w:pPr>
        <w:pStyle w:val="NoSpacing"/>
        <w:rPr>
          <w:rFonts w:cstheme="minorHAnsi"/>
          <w:i w:val="0"/>
        </w:rPr>
      </w:pPr>
    </w:p>
    <w:p w:rsidR="00201BC5" w:rsidRPr="000C7E6D" w:rsidRDefault="00201BC5" w:rsidP="00D76D03">
      <w:pPr>
        <w:pStyle w:val="NoSpacing"/>
        <w:jc w:val="both"/>
        <w:rPr>
          <w:rFonts w:cstheme="minorHAnsi"/>
          <w:i w:val="0"/>
          <w:shd w:val="clear" w:color="auto" w:fill="FFFFFF"/>
        </w:rPr>
      </w:pPr>
      <w:r w:rsidRPr="001B261D">
        <w:rPr>
          <w:rFonts w:cstheme="minorHAnsi"/>
          <w:b/>
          <w:i w:val="0"/>
        </w:rPr>
        <w:t xml:space="preserve">Program rad općinskog vijeća </w:t>
      </w:r>
      <w:r w:rsidRPr="001B261D">
        <w:rPr>
          <w:rFonts w:cstheme="minorHAnsi"/>
          <w:i w:val="0"/>
        </w:rPr>
        <w:t>obuhvaća</w:t>
      </w:r>
      <w:r w:rsidRPr="000C7E6D">
        <w:rPr>
          <w:rFonts w:cstheme="minorHAnsi"/>
          <w:i w:val="0"/>
        </w:rPr>
        <w:t xml:space="preserve"> naknade za rad predstavničkog tijela, potpore radu političkim strankama, izdatke za proslavu Dana općine Posedarje</w:t>
      </w:r>
      <w:r w:rsidR="005A6F26">
        <w:rPr>
          <w:rFonts w:cstheme="minorHAnsi"/>
          <w:i w:val="0"/>
        </w:rPr>
        <w:t xml:space="preserve"> te izadatke za održavanje lokalnih izbora.</w:t>
      </w:r>
      <w:r w:rsidRPr="000C7E6D">
        <w:rPr>
          <w:rFonts w:cstheme="minorHAnsi"/>
          <w:i w:val="0"/>
        </w:rPr>
        <w:t xml:space="preserve"> Planirani troškovi navedenog programa za 202</w:t>
      </w:r>
      <w:r w:rsidR="005A6F26">
        <w:rPr>
          <w:rFonts w:cstheme="minorHAnsi"/>
          <w:i w:val="0"/>
        </w:rPr>
        <w:t>5</w:t>
      </w:r>
      <w:r w:rsidRPr="000C7E6D">
        <w:rPr>
          <w:rFonts w:cstheme="minorHAnsi"/>
          <w:i w:val="0"/>
        </w:rPr>
        <w:t xml:space="preserve">. godinu planirani su u iznosu od </w:t>
      </w:r>
      <w:r w:rsidR="005A6F26">
        <w:rPr>
          <w:rFonts w:cstheme="minorHAnsi"/>
          <w:i w:val="0"/>
        </w:rPr>
        <w:t>46.600,00</w:t>
      </w:r>
      <w:r w:rsidR="00746554" w:rsidRPr="000C7E6D">
        <w:rPr>
          <w:rFonts w:cstheme="minorHAnsi"/>
          <w:i w:val="0"/>
        </w:rPr>
        <w:t xml:space="preserve"> eura a izvršeni su u iznosu od </w:t>
      </w:r>
      <w:r w:rsidR="005A6F26">
        <w:rPr>
          <w:rFonts w:cstheme="minorHAnsi"/>
          <w:i w:val="0"/>
        </w:rPr>
        <w:t>32.819,39</w:t>
      </w:r>
      <w:r w:rsidR="002431CA">
        <w:rPr>
          <w:rFonts w:cstheme="minorHAnsi"/>
          <w:i w:val="0"/>
        </w:rPr>
        <w:t xml:space="preserve"> eu</w:t>
      </w:r>
      <w:r w:rsidR="00746554" w:rsidRPr="000C7E6D">
        <w:rPr>
          <w:rFonts w:cstheme="minorHAnsi"/>
          <w:i w:val="0"/>
        </w:rPr>
        <w:t>ra.</w:t>
      </w:r>
      <w:r w:rsidRPr="000C7E6D">
        <w:rPr>
          <w:rFonts w:cstheme="minorHAnsi"/>
          <w:i w:val="0"/>
        </w:rPr>
        <w:t xml:space="preserve"> </w:t>
      </w:r>
      <w:r w:rsidRPr="000C7E6D">
        <w:rPr>
          <w:rFonts w:cstheme="minorHAnsi"/>
          <w:i w:val="0"/>
          <w:shd w:val="clear" w:color="auto" w:fill="FFFFFF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:rsidR="00201BC5" w:rsidRDefault="00201BC5" w:rsidP="00201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7104"/>
      </w:tblGrid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Odluka o reguliranju naknade za predsjednika Općinskog vijeća, dopredsjednika Općinskog vijeća i vijećnike za sudjelovanje u radu na sjednicama Općinskog vijeća Općine Posedarje (Službeni glasnik Općine Posedarje 07/21 )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Odluka o raspoređivanju sredstava političkim strankama i nezavisnim kandidatima u Općinskom vijeću Općine Posedarje (Službeni glasnik Općine Posedarje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1/21)</w:t>
            </w:r>
          </w:p>
          <w:p w:rsidR="002431CA" w:rsidRPr="00D72278" w:rsidRDefault="002431CA" w:rsidP="002431CA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 xml:space="preserve">Poslovnik Općinskog vijeća Općine Posedarje  (Službeni glasnik Posedarje </w:t>
            </w:r>
            <w:r>
              <w:rPr>
                <w:rFonts w:ascii="Times New Roman" w:hAnsi="Times New Roman" w:cs="Times New Roman"/>
              </w:rPr>
              <w:t>07/21</w:t>
            </w:r>
            <w:r w:rsidRPr="00D72278">
              <w:rPr>
                <w:rFonts w:ascii="Times New Roman" w:hAnsi="Times New Roman" w:cs="Times New Roman"/>
              </w:rPr>
              <w:t>)</w:t>
            </w:r>
          </w:p>
          <w:p w:rsidR="002431CA" w:rsidRPr="00D7227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A100101 Naknade za članove vijeća</w:t>
            </w:r>
          </w:p>
          <w:p w:rsidR="002431CA" w:rsidRPr="00D72278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2278">
              <w:rPr>
                <w:rFonts w:ascii="Times New Roman" w:hAnsi="Times New Roman" w:cs="Times New Roman"/>
              </w:rPr>
              <w:t>Aktivnost A100102 Potpore radu političkim strankama</w:t>
            </w:r>
          </w:p>
          <w:p w:rsidR="002431CA" w:rsidRPr="005A6F26" w:rsidRDefault="002431CA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</w:rPr>
              <w:t>Aktivnost A100103 Obilježavanje proslave dana Općine</w:t>
            </w:r>
          </w:p>
          <w:p w:rsidR="005A6F26" w:rsidRPr="00D72278" w:rsidRDefault="005A6F26" w:rsidP="002431CA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Aktivnos A100104 Lokalni izbori</w:t>
            </w:r>
          </w:p>
          <w:p w:rsidR="002431CA" w:rsidRPr="00D7227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CA" w:rsidRPr="00D7227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1CA" w:rsidRPr="00D72278" w:rsidRDefault="002431CA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2431CA" w:rsidRPr="00D72278" w:rsidRDefault="002431CA" w:rsidP="002431CA">
            <w:pPr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Funkcioniranje Mjesnih odbora</w:t>
            </w:r>
          </w:p>
        </w:tc>
      </w:tr>
      <w:tr w:rsidR="002431CA" w:rsidRPr="00E12668" w:rsidTr="00A204CE">
        <w:tc>
          <w:tcPr>
            <w:tcW w:w="2093" w:type="dxa"/>
            <w:shd w:val="clear" w:color="auto" w:fill="95B3D7" w:themeFill="accent1" w:themeFillTint="99"/>
          </w:tcPr>
          <w:p w:rsidR="002431CA" w:rsidRPr="00D72278" w:rsidRDefault="002431CA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78">
              <w:rPr>
                <w:rFonts w:ascii="Times New Roman" w:hAnsi="Times New Roman" w:cs="Times New Roman"/>
                <w:sz w:val="24"/>
                <w:szCs w:val="24"/>
              </w:rPr>
              <w:t>Planirana sredstva za provedbu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2431CA" w:rsidRPr="00B6679D" w:rsidRDefault="002431CA" w:rsidP="002431C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Plan </w:t>
            </w:r>
            <w:r w:rsidRPr="00D72278">
              <w:rPr>
                <w:rFonts w:ascii="Times New Roman" w:hAnsi="Times New Roman" w:cs="Times New Roman"/>
              </w:rPr>
              <w:t>202</w:t>
            </w:r>
            <w:r w:rsidR="005A6F26">
              <w:rPr>
                <w:rFonts w:ascii="Times New Roman" w:hAnsi="Times New Roman" w:cs="Times New Roman"/>
              </w:rPr>
              <w:t>5</w:t>
            </w:r>
            <w:r w:rsidRPr="00D72278">
              <w:rPr>
                <w:rFonts w:ascii="Times New Roman" w:hAnsi="Times New Roman" w:cs="Times New Roman"/>
              </w:rPr>
              <w:t>. godina =</w:t>
            </w:r>
            <w:r w:rsidR="005A6F26">
              <w:rPr>
                <w:rFonts w:ascii="Times New Roman" w:hAnsi="Times New Roman" w:cs="Times New Roman"/>
              </w:rPr>
              <w:t>46.600,00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2431CA" w:rsidRPr="00D72278" w:rsidRDefault="002431CA" w:rsidP="002431C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plana 202</w:t>
            </w:r>
            <w:r w:rsidR="005A6F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.godine=</w:t>
            </w:r>
            <w:r w:rsidR="005A6F26">
              <w:rPr>
                <w:rFonts w:ascii="Times New Roman" w:hAnsi="Times New Roman" w:cs="Times New Roman"/>
              </w:rPr>
              <w:t>32.819,39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2431CA" w:rsidRPr="00E12668" w:rsidRDefault="002431CA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31CA" w:rsidRPr="00D72278" w:rsidRDefault="002431CA" w:rsidP="00201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1BC5" w:rsidRDefault="00201BC5" w:rsidP="002E2D53">
      <w:pPr>
        <w:pStyle w:val="NoSpacing"/>
        <w:rPr>
          <w:b/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Pr="001B261D" w:rsidRDefault="005012CB" w:rsidP="005012CB">
      <w:pPr>
        <w:pStyle w:val="NoSpacing"/>
        <w:rPr>
          <w:i w:val="0"/>
        </w:rPr>
      </w:pPr>
      <w:r w:rsidRPr="005012CB">
        <w:rPr>
          <w:b/>
          <w:i w:val="0"/>
        </w:rPr>
        <w:t xml:space="preserve">Program 1002 Redovna djelatnost Jedinstvenog upravnog </w:t>
      </w:r>
      <w:r w:rsidRPr="001B261D">
        <w:rPr>
          <w:i w:val="0"/>
        </w:rPr>
        <w:t>odjela sastoji se od slijedećih aktivnosti i projekata;</w:t>
      </w:r>
    </w:p>
    <w:p w:rsidR="005012CB" w:rsidRDefault="005012CB" w:rsidP="005012CB">
      <w:pPr>
        <w:pStyle w:val="NoSpacing"/>
      </w:pPr>
      <w:r w:rsidRPr="005012CB">
        <w:t>Aktivnost A100201 Izvršna uprava i administracija</w:t>
      </w:r>
    </w:p>
    <w:p w:rsidR="005012CB" w:rsidRDefault="005012CB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Troškovi navedene aktivnosti planirani su u iznosu od </w:t>
      </w:r>
      <w:r w:rsidR="005A6F26">
        <w:rPr>
          <w:i w:val="0"/>
        </w:rPr>
        <w:t>595.955,00</w:t>
      </w:r>
      <w:r>
        <w:rPr>
          <w:i w:val="0"/>
        </w:rPr>
        <w:t xml:space="preserve"> eur</w:t>
      </w:r>
      <w:r w:rsidR="007327FF">
        <w:rPr>
          <w:i w:val="0"/>
        </w:rPr>
        <w:t>a</w:t>
      </w:r>
      <w:r>
        <w:rPr>
          <w:i w:val="0"/>
        </w:rPr>
        <w:t xml:space="preserve"> a izvrše</w:t>
      </w:r>
      <w:r w:rsidR="007327FF">
        <w:rPr>
          <w:i w:val="0"/>
        </w:rPr>
        <w:t>n</w:t>
      </w:r>
      <w:r>
        <w:rPr>
          <w:i w:val="0"/>
        </w:rPr>
        <w:t xml:space="preserve">i su u iznosu od </w:t>
      </w:r>
      <w:r w:rsidR="005A6F26">
        <w:rPr>
          <w:i w:val="0"/>
        </w:rPr>
        <w:t xml:space="preserve">574.359,80 </w:t>
      </w:r>
      <w:r>
        <w:rPr>
          <w:i w:val="0"/>
        </w:rPr>
        <w:t xml:space="preserve"> eur</w:t>
      </w:r>
      <w:r w:rsidR="007327FF">
        <w:rPr>
          <w:i w:val="0"/>
        </w:rPr>
        <w:t>a</w:t>
      </w:r>
      <w:r>
        <w:rPr>
          <w:i w:val="0"/>
        </w:rPr>
        <w:t xml:space="preserve"> i index izvršenja je </w:t>
      </w:r>
      <w:r w:rsidR="005A6F26">
        <w:rPr>
          <w:i w:val="0"/>
        </w:rPr>
        <w:t>96,38%</w:t>
      </w:r>
      <w:r w:rsidR="007327FF">
        <w:rPr>
          <w:i w:val="0"/>
        </w:rPr>
        <w:t xml:space="preserve"> </w:t>
      </w:r>
      <w:r>
        <w:rPr>
          <w:i w:val="0"/>
        </w:rPr>
        <w:t>.Aktivnost obuhvaća rashode</w:t>
      </w:r>
      <w:r w:rsidRPr="005012CB">
        <w:rPr>
          <w:i w:val="0"/>
        </w:rPr>
        <w:t xml:space="preserve"> za zaposlene, rashode za materijal i energiju, rashode za usluge, financijske rashode, uredsku opremu, računala i računalnu opremu i programe, telekomunikacijske uređaje i opremu. Ovim programom se osiguravaju materijalni uvjeti za rad, aktivnosti kojima se osiguravaju sredstva za redovno financiranje prava zaposlenika iz radnog odnosa, aktivnosti za podmirenje materijalnih rashoda i rashoda za usluge, te nabavu opreme </w:t>
      </w:r>
      <w:r w:rsidRPr="005012CB">
        <w:rPr>
          <w:i w:val="0"/>
        </w:rPr>
        <w:lastRenderedPageBreak/>
        <w:t>i programa za stvaranje kvalitetnijih uvjeta za rad.</w:t>
      </w:r>
      <w:r w:rsidRPr="005012CB">
        <w:rPr>
          <w:i w:val="0"/>
          <w:shd w:val="clear" w:color="auto" w:fill="FFFFFF"/>
        </w:rPr>
        <w:t xml:space="preserve"> Za obavljanje poslova iz samoupravnog djelokruga Općine te obavljanje poslova državne uprave koji su zakonom preneseni na Općinu, ustrojava  se Jedinstveni upravni odjel. </w:t>
      </w:r>
      <w:r w:rsidRPr="005012CB">
        <w:rPr>
          <w:i w:val="0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</w:p>
    <w:p w:rsidR="007D5D4E" w:rsidRDefault="007D5D4E" w:rsidP="00E3527B">
      <w:pPr>
        <w:pStyle w:val="NoSpacing"/>
        <w:jc w:val="both"/>
      </w:pPr>
      <w:r w:rsidRPr="007D5D4E">
        <w:t>Aktivnost A100208 Najam vozila</w:t>
      </w:r>
    </w:p>
    <w:p w:rsidR="007D5D4E" w:rsidRDefault="007D5D4E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Troškovi navedene aktivnosti planirani su u iznosu od </w:t>
      </w:r>
      <w:r w:rsidR="00BA1C3C">
        <w:rPr>
          <w:i w:val="0"/>
        </w:rPr>
        <w:t>4.100,00</w:t>
      </w:r>
      <w:r>
        <w:rPr>
          <w:i w:val="0"/>
        </w:rPr>
        <w:t xml:space="preserve"> eura a izvršeni su u iznosu od </w:t>
      </w:r>
      <w:r w:rsidR="00BA1C3C">
        <w:rPr>
          <w:i w:val="0"/>
        </w:rPr>
        <w:t>12.400,04 eura</w:t>
      </w:r>
      <w:r>
        <w:rPr>
          <w:i w:val="0"/>
        </w:rPr>
        <w:t>. Navedena aktivnost obuhvaća</w:t>
      </w:r>
      <w:r w:rsidR="00BA1C3C">
        <w:rPr>
          <w:i w:val="0"/>
        </w:rPr>
        <w:t xml:space="preserve">la je </w:t>
      </w:r>
      <w:r>
        <w:rPr>
          <w:i w:val="0"/>
        </w:rPr>
        <w:t xml:space="preserve"> troškove operativno</w:t>
      </w:r>
      <w:r w:rsidR="007327FF">
        <w:rPr>
          <w:i w:val="0"/>
        </w:rPr>
        <w:t>g leasinga za dva  vozila.</w:t>
      </w:r>
    </w:p>
    <w:p w:rsidR="00BA1C3C" w:rsidRDefault="00BA1C3C" w:rsidP="00E3527B">
      <w:pPr>
        <w:pStyle w:val="NoSpacing"/>
        <w:jc w:val="both"/>
        <w:rPr>
          <w:i w:val="0"/>
        </w:rPr>
      </w:pPr>
      <w:r>
        <w:rPr>
          <w:i w:val="0"/>
        </w:rPr>
        <w:t>Međutim, sredinom godine istekao je petogodišnji leasing za osobno općinsko vozilo te se to isto vozilo otkupilo od leasing kuće što je povećalo troškove navedene aktivnosti.</w:t>
      </w:r>
    </w:p>
    <w:p w:rsidR="007327FF" w:rsidRDefault="00BA1C3C" w:rsidP="00E3527B">
      <w:pPr>
        <w:pStyle w:val="NoSpacing"/>
        <w:jc w:val="both"/>
      </w:pPr>
      <w:r>
        <w:t>Aktivnost A100211 Aglomeracija Karinskog i Novigradskog mora</w:t>
      </w:r>
    </w:p>
    <w:p w:rsidR="00BA1C3C" w:rsidRDefault="00BA1C3C" w:rsidP="00E3527B">
      <w:pPr>
        <w:pStyle w:val="NoSpacing"/>
        <w:jc w:val="both"/>
        <w:rPr>
          <w:i w:val="0"/>
        </w:rPr>
      </w:pPr>
      <w:r w:rsidRPr="00BA1C3C">
        <w:rPr>
          <w:i w:val="0"/>
        </w:rPr>
        <w:t>U 2025.godini nije bilo troškova po navedenoj aktivnosti.</w:t>
      </w:r>
    </w:p>
    <w:p w:rsidR="00BA1C3C" w:rsidRPr="00BA1C3C" w:rsidRDefault="00BA1C3C" w:rsidP="00E3527B">
      <w:pPr>
        <w:pStyle w:val="NoSpacing"/>
        <w:jc w:val="both"/>
      </w:pPr>
      <w:r w:rsidRPr="00BA1C3C">
        <w:t>Aktivnost A100213 Kapitalna pomoć trgovačkim društvima</w:t>
      </w:r>
    </w:p>
    <w:p w:rsidR="00BA1C3C" w:rsidRDefault="00BA1C3C" w:rsidP="00BA1C3C">
      <w:pPr>
        <w:pStyle w:val="NoSpacing"/>
        <w:jc w:val="both"/>
        <w:rPr>
          <w:i w:val="0"/>
        </w:rPr>
      </w:pPr>
      <w:r w:rsidRPr="00BA1C3C">
        <w:rPr>
          <w:i w:val="0"/>
        </w:rPr>
        <w:t>U 2025.godini nije bilo troškova po navedenoj aktivnosti.</w:t>
      </w:r>
    </w:p>
    <w:p w:rsidR="00BA1C3C" w:rsidRDefault="00BA1C3C" w:rsidP="00BA1C3C">
      <w:pPr>
        <w:pStyle w:val="NoSpacing"/>
        <w:jc w:val="both"/>
      </w:pPr>
      <w:r w:rsidRPr="00BA1C3C">
        <w:t>Aktivnost A100214 Obnova zemljišnih kniga</w:t>
      </w:r>
    </w:p>
    <w:p w:rsidR="00BA1C3C" w:rsidRDefault="00A77FAB" w:rsidP="00E3527B">
      <w:pPr>
        <w:pStyle w:val="NoSpacing"/>
        <w:jc w:val="both"/>
        <w:rPr>
          <w:i w:val="0"/>
        </w:rPr>
      </w:pPr>
      <w:r>
        <w:rPr>
          <w:i w:val="0"/>
        </w:rPr>
        <w:t xml:space="preserve">U 2025.godini započeo je proces obnove zemljišnih knjiga  te je potpisan  sporazum o </w:t>
      </w:r>
      <w:r w:rsidR="006877CA">
        <w:rPr>
          <w:i w:val="0"/>
        </w:rPr>
        <w:t>su</w:t>
      </w:r>
      <w:r>
        <w:rPr>
          <w:i w:val="0"/>
        </w:rPr>
        <w:t>financiranju naknada članovima povjerenstava. U navedenoj aktivnosti prikazani su troškovi za nabavku uredskog materijala, troškovi usluga za održavanja opreme, nabavka uredske i računalne  opreme za prostor katastarse izmjere, troškove ugovora o djelu povjerenika te pomoći za sufinanciranje plaća sudaca.</w:t>
      </w:r>
    </w:p>
    <w:p w:rsidR="00A77FAB" w:rsidRPr="00BA1C3C" w:rsidRDefault="00A77FAB" w:rsidP="00E3527B">
      <w:pPr>
        <w:pStyle w:val="NoSpacing"/>
        <w:jc w:val="both"/>
        <w:rPr>
          <w:i w:val="0"/>
        </w:rPr>
      </w:pPr>
      <w:r>
        <w:rPr>
          <w:i w:val="0"/>
        </w:rPr>
        <w:t>Troškovi navedene aktivnosti ostvareni su u iznosu od 94.278,19 eura.</w:t>
      </w:r>
    </w:p>
    <w:p w:rsidR="00A92434" w:rsidRDefault="00A92434" w:rsidP="00D76D03">
      <w:pPr>
        <w:pStyle w:val="NoSpacing"/>
      </w:pPr>
      <w:r w:rsidRPr="00A92434">
        <w:t>Kapitalni projekt K100204 Nabava opreme(računalna i uredska)</w:t>
      </w:r>
    </w:p>
    <w:p w:rsidR="007327FF" w:rsidRDefault="00A92434" w:rsidP="00D76D03">
      <w:pPr>
        <w:pStyle w:val="NoSpacing"/>
        <w:rPr>
          <w:i w:val="0"/>
        </w:rPr>
      </w:pPr>
      <w:r>
        <w:rPr>
          <w:i w:val="0"/>
        </w:rPr>
        <w:t xml:space="preserve">Kapitalni projekt je planiran u iznosu od </w:t>
      </w:r>
      <w:r w:rsidR="00E309CE">
        <w:rPr>
          <w:i w:val="0"/>
        </w:rPr>
        <w:t>2.000,00</w:t>
      </w:r>
      <w:r>
        <w:rPr>
          <w:i w:val="0"/>
        </w:rPr>
        <w:t xml:space="preserve"> eura </w:t>
      </w:r>
      <w:r w:rsidR="007327FF">
        <w:rPr>
          <w:i w:val="0"/>
        </w:rPr>
        <w:t>a izvršene je u iznosu od 5.</w:t>
      </w:r>
      <w:r w:rsidR="00E309CE">
        <w:rPr>
          <w:i w:val="0"/>
        </w:rPr>
        <w:t xml:space="preserve">850,00 </w:t>
      </w:r>
      <w:r w:rsidR="007327FF">
        <w:rPr>
          <w:i w:val="0"/>
        </w:rPr>
        <w:t xml:space="preserve"> eura.</w:t>
      </w:r>
    </w:p>
    <w:p w:rsidR="00E309CE" w:rsidRDefault="00E309CE" w:rsidP="00D76D03">
      <w:pPr>
        <w:pStyle w:val="NoSpacing"/>
        <w:rPr>
          <w:i w:val="0"/>
        </w:rPr>
      </w:pPr>
      <w:r>
        <w:rPr>
          <w:i w:val="0"/>
        </w:rPr>
        <w:t>Troškovi se odnose na kupnju opreme za s</w:t>
      </w:r>
      <w:r w:rsidRPr="00E309CE">
        <w:rPr>
          <w:i w:val="0"/>
        </w:rPr>
        <w:t xml:space="preserve">anacija kapilarne vlage </w:t>
      </w:r>
      <w:r>
        <w:rPr>
          <w:i w:val="0"/>
        </w:rPr>
        <w:t>u prostorima za katastarsku izmjeru.</w:t>
      </w:r>
    </w:p>
    <w:p w:rsidR="00E309CE" w:rsidRDefault="00E309CE" w:rsidP="00D76D03">
      <w:pPr>
        <w:pStyle w:val="NoSpacing"/>
        <w:rPr>
          <w:i w:val="0"/>
        </w:rPr>
      </w:pPr>
      <w:r>
        <w:rPr>
          <w:i w:val="0"/>
        </w:rPr>
        <w:t>Kapitalni projekt K100206 Izgradnja nove općinske zgrade</w:t>
      </w:r>
    </w:p>
    <w:p w:rsidR="00E309CE" w:rsidRDefault="00E309CE" w:rsidP="00D76D03">
      <w:pPr>
        <w:pStyle w:val="NoSpacing"/>
        <w:rPr>
          <w:i w:val="0"/>
        </w:rPr>
      </w:pPr>
      <w:r>
        <w:rPr>
          <w:i w:val="0"/>
        </w:rPr>
        <w:t>Troškovi od 24.750,00 eura odnose se na projektnu dokumentaciju za gradnju zgrade.</w:t>
      </w:r>
    </w:p>
    <w:p w:rsidR="00A92434" w:rsidRDefault="007327FF" w:rsidP="00D76D03">
      <w:pPr>
        <w:pStyle w:val="NoSpacing"/>
      </w:pPr>
      <w:r w:rsidRPr="00A92434">
        <w:t xml:space="preserve"> </w:t>
      </w:r>
      <w:r w:rsidR="00A92434" w:rsidRPr="00A92434">
        <w:t>Kapitalni projekt K100207 Nabavka ostale opreme</w:t>
      </w:r>
    </w:p>
    <w:p w:rsidR="00E309CE" w:rsidRDefault="00851D88" w:rsidP="00D76D03">
      <w:pPr>
        <w:pStyle w:val="NoSpacing"/>
        <w:rPr>
          <w:i w:val="0"/>
        </w:rPr>
      </w:pPr>
      <w:r>
        <w:rPr>
          <w:i w:val="0"/>
        </w:rPr>
        <w:t xml:space="preserve">Općina Posedarje je na temelju natječaja o dodijeli sredstava potpisala ugovor s Ministarstvom demografije i useljeništva o dodojeli bespovratnih sredstava za poboljšanje materijalnih uvjeta u dječjim vrtćima. </w:t>
      </w:r>
    </w:p>
    <w:p w:rsidR="00851D88" w:rsidRPr="00851D88" w:rsidRDefault="00851D88" w:rsidP="00D76D03">
      <w:pPr>
        <w:pStyle w:val="NoSpacing"/>
        <w:rPr>
          <w:i w:val="0"/>
        </w:rPr>
      </w:pPr>
      <w:r>
        <w:rPr>
          <w:i w:val="0"/>
        </w:rPr>
        <w:t>Na temelju tog natječaja nabavljena je oprema i sitni inventar u vrijednosti od 62.207,16 eura.</w:t>
      </w:r>
    </w:p>
    <w:p w:rsidR="005012CB" w:rsidRPr="005012CB" w:rsidRDefault="005012CB" w:rsidP="005012CB">
      <w:pPr>
        <w:pStyle w:val="NoSpacing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7091"/>
      </w:tblGrid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0102  Redovna djelatnost uprave</w:t>
            </w: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Zakon o lokalnoj i područnoj (regionalnoj) samoupravi (NN 33/01, 60/01, 129/05, 109/07, 125/08, 36/09, 36/09, 150/11, 144/12, 19/13, 137/15, 123/17, 98/19,144/20)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Zakon o proračunu (NN 87/08, 136/12, 15/15, 144/21)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Odluka o ustrojstvu Jedinstvenog upravnog odjela Općine Posedarje (Službeni  glasnik Općine Posedarje13/18)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 xml:space="preserve">Pravilnik o unutarnjem redu Jedinstvenog upravnog odjela Općine Posedarje (Službeni glasnik Općine Posedarje 07/22) 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Odluka o izmjenama Odluke o plaći i drugim pravima općinskog načelnika i zamjenika općinskog načelnika iz radnog odnosa (Službeni glasnik Općine Posedarje anije 12/22)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lastRenderedPageBreak/>
              <w:t>Odluka o koeficijentima za obračun plaće službenika i namještenika u Jedinstvenom upravnom odjelu Općine Posedarje (Službeni glasnik Općine Posedarje 14/18 )</w:t>
            </w:r>
          </w:p>
          <w:p w:rsidR="007327FF" w:rsidRPr="00E12668" w:rsidRDefault="007327FF" w:rsidP="007327FF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</w:pPr>
            <w:r w:rsidRPr="00E12668">
              <w:t>Pravilnik o pravima iz radnog odnosa zaposlenika Općine Posedarje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  <w:r w:rsidRPr="00E12668">
              <w:t>(Službeni glasnik Općine Posedarje 06/20)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/>
          <w:p w:rsidR="007327FF" w:rsidRPr="00E12668" w:rsidRDefault="007327FF" w:rsidP="00A204CE">
            <w:r w:rsidRPr="00E12668">
              <w:t>Opis programa (aktivnosti)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A100201 Izvršna uprava i administracija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A100208 Najam vozila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A100210 Financijski leasing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Aktivnost A100211 Aglomeracija Karinskog i Novigradskog mora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Aktivnost A100213 Kapitalna pomoć trgovačkim društvima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Aktivnost A100214 Obnova zemljišnih knjiga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 w:rsidRPr="00E12668">
              <w:t>Kapitalni projekt K100204 Nabava opreme (računalna i uredska oprema)</w:t>
            </w:r>
          </w:p>
          <w:p w:rsidR="007327FF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Kapitalni projekt K100206 Izgradnja nove općinske zgrade</w:t>
            </w:r>
          </w:p>
          <w:p w:rsidR="007327FF" w:rsidRPr="00E12668" w:rsidRDefault="007327FF" w:rsidP="007327FF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</w:pPr>
            <w:r>
              <w:t>Kapitalni projekt K100207 Nabava ostale opreme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</w:p>
          <w:p w:rsidR="007327FF" w:rsidRPr="00E12668" w:rsidRDefault="007327FF" w:rsidP="00A204CE">
            <w:pPr>
              <w:jc w:val="both"/>
            </w:pPr>
            <w:r w:rsidRPr="00E12668"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redovno podmirivanje financijskih obveza prema zaposlenicima,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osigurati materijalne i druge uvjete za redovito obavljanje zadaća Odjela,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zadržavanje dostignute razine riješenosti žalbi u drugostupanjskom upravnom postupku na rješenja u predmetima utvrđivanja i naplate prihoda,</w:t>
            </w:r>
          </w:p>
          <w:p w:rsidR="007327FF" w:rsidRPr="00E12668" w:rsidRDefault="007327FF" w:rsidP="007327FF">
            <w:pPr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eastAsia="Calibri"/>
              </w:rPr>
            </w:pPr>
            <w:r w:rsidRPr="00E12668">
              <w:rPr>
                <w:rFonts w:eastAsia="Calibri"/>
              </w:rPr>
              <w:t>zakonito i učinkovito provođenje postupaka javne nabave.</w:t>
            </w:r>
          </w:p>
          <w:p w:rsidR="007327FF" w:rsidRPr="00E12668" w:rsidRDefault="007327FF" w:rsidP="00A204CE">
            <w:pPr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  <w:r w:rsidRPr="00E12668"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7327FF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</w:pPr>
            <w:r>
              <w:t xml:space="preserve">Plan </w:t>
            </w:r>
            <w:r w:rsidRPr="00E12668">
              <w:t>202</w:t>
            </w:r>
            <w:r w:rsidR="00851D88">
              <w:t>5</w:t>
            </w:r>
            <w:r w:rsidRPr="00E12668">
              <w:t>. godina =</w:t>
            </w:r>
            <w:r w:rsidR="00851D88">
              <w:t>729.155,00</w:t>
            </w:r>
            <w:r w:rsidRPr="00E12668">
              <w:t>€</w:t>
            </w:r>
          </w:p>
          <w:p w:rsidR="007327FF" w:rsidRPr="00E12668" w:rsidRDefault="007327FF" w:rsidP="007327FF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</w:pPr>
            <w:r>
              <w:t>Izvršenje  202</w:t>
            </w:r>
            <w:r w:rsidR="00851D88">
              <w:t>5</w:t>
            </w:r>
            <w:r>
              <w:t>.</w:t>
            </w:r>
            <w:r w:rsidRPr="00E12668">
              <w:t xml:space="preserve"> godin</w:t>
            </w:r>
            <w:r>
              <w:t>e</w:t>
            </w:r>
            <w:r w:rsidRPr="00E12668">
              <w:t xml:space="preserve"> = </w:t>
            </w:r>
            <w:r w:rsidR="00851D88">
              <w:t>773.845,19</w:t>
            </w:r>
            <w:r w:rsidRPr="00E12668">
              <w:t>€</w:t>
            </w:r>
          </w:p>
          <w:p w:rsidR="007327FF" w:rsidRPr="00E12668" w:rsidRDefault="007327FF" w:rsidP="00A204CE">
            <w:pPr>
              <w:ind w:left="720"/>
              <w:contextualSpacing/>
              <w:jc w:val="both"/>
            </w:pPr>
          </w:p>
        </w:tc>
      </w:tr>
      <w:tr w:rsidR="007327FF" w:rsidRPr="00E12668" w:rsidTr="00A204CE">
        <w:tc>
          <w:tcPr>
            <w:tcW w:w="2093" w:type="dxa"/>
            <w:shd w:val="clear" w:color="auto" w:fill="95B3D7" w:themeFill="accent1" w:themeFillTint="99"/>
          </w:tcPr>
          <w:p w:rsidR="007327FF" w:rsidRPr="00E12668" w:rsidRDefault="007327FF" w:rsidP="00A204CE">
            <w:pPr>
              <w:jc w:val="both"/>
            </w:pPr>
            <w:r w:rsidRPr="00E12668"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327FF" w:rsidRPr="00E12668" w:rsidRDefault="007327FF" w:rsidP="00A204CE">
            <w:pPr>
              <w:jc w:val="both"/>
            </w:pPr>
            <w:r w:rsidRPr="00E12668">
              <w:t xml:space="preserve">Pravovremeno doneseni akti; Pravovremeno obavljanje djelatnosti iz nadležnosti Jedinstvenog upravnog odjela; Ukupan broj predmeta/akata u obradi i rješavanju; </w:t>
            </w:r>
            <w:r w:rsidRPr="00E12668">
              <w:rPr>
                <w:rFonts w:eastAsia="Calibri"/>
              </w:rPr>
              <w:t xml:space="preserve"> Racionalno financiranje rashoda za zaposlene u skladu sa  zakonom, propisima i internim aktima;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:rsidR="005012CB" w:rsidRDefault="005012CB" w:rsidP="00501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21" w:rsidRDefault="00BF5321" w:rsidP="00BF5321">
      <w:pPr>
        <w:pStyle w:val="NoSpacing"/>
        <w:jc w:val="both"/>
        <w:rPr>
          <w:i w:val="0"/>
        </w:rPr>
      </w:pPr>
    </w:p>
    <w:p w:rsidR="00BF5321" w:rsidRPr="00BF5321" w:rsidRDefault="00BF5321" w:rsidP="00D76D03">
      <w:pPr>
        <w:pStyle w:val="NoSpacing"/>
        <w:jc w:val="both"/>
        <w:rPr>
          <w:i w:val="0"/>
        </w:rPr>
      </w:pPr>
      <w:r w:rsidRPr="00BF5321">
        <w:rPr>
          <w:b/>
          <w:i w:val="0"/>
        </w:rPr>
        <w:lastRenderedPageBreak/>
        <w:t>Program 1003 Organiziranje i provođenje zaštite i spašavanja</w:t>
      </w:r>
      <w:r w:rsidRPr="00BF5321">
        <w:rPr>
          <w:i w:val="0"/>
        </w:rPr>
        <w:t xml:space="preserve"> planiran je u iznosu od </w:t>
      </w:r>
      <w:r w:rsidR="00851D88">
        <w:rPr>
          <w:i w:val="0"/>
        </w:rPr>
        <w:t>202.800,00</w:t>
      </w:r>
      <w:r>
        <w:rPr>
          <w:i w:val="0"/>
        </w:rPr>
        <w:t xml:space="preserve"> eura a izvršen je u iznosu </w:t>
      </w:r>
      <w:r w:rsidR="00851D88">
        <w:rPr>
          <w:i w:val="0"/>
        </w:rPr>
        <w:t>199.640,22</w:t>
      </w:r>
      <w:r>
        <w:rPr>
          <w:i w:val="0"/>
        </w:rPr>
        <w:t xml:space="preserve"> eura</w:t>
      </w:r>
      <w:r w:rsidRPr="00BF5321">
        <w:rPr>
          <w:i w:val="0"/>
        </w:rPr>
        <w:t xml:space="preserve"> te obuhvaća sredstva za sufinanciranje DVD-a Posedarje i funkcioniranje civilne zaštite. Sufinanciranje vatrogastva regulirano je Zakonom o vatrogastvu; za potrebe DVD Općine Posedarje planira</w:t>
      </w:r>
      <w:r>
        <w:rPr>
          <w:i w:val="0"/>
        </w:rPr>
        <w:t xml:space="preserve">no je izvojiti </w:t>
      </w:r>
      <w:r w:rsidR="00851D88">
        <w:rPr>
          <w:i w:val="0"/>
        </w:rPr>
        <w:t>201.800,00</w:t>
      </w:r>
      <w:r>
        <w:rPr>
          <w:i w:val="0"/>
        </w:rPr>
        <w:t xml:space="preserve"> eura a izvršeno je </w:t>
      </w:r>
      <w:r w:rsidR="00851D88">
        <w:rPr>
          <w:i w:val="0"/>
        </w:rPr>
        <w:t>198.840,22</w:t>
      </w:r>
      <w:r>
        <w:rPr>
          <w:i w:val="0"/>
        </w:rPr>
        <w:t xml:space="preserve"> eura.</w:t>
      </w:r>
      <w:r w:rsidRPr="00BF5321">
        <w:rPr>
          <w:i w:val="0"/>
        </w:rPr>
        <w:t xml:space="preserve"> Aktivnost za Civilnu zaštitu temeljena je na Zakonu o zaštiti i spašavanju i Civilnoj zaštiti. </w:t>
      </w:r>
      <w:r w:rsidR="007327FF">
        <w:rPr>
          <w:i w:val="0"/>
        </w:rPr>
        <w:t xml:space="preserve"> Izvršena je u iznosu od 8</w:t>
      </w:r>
      <w:r>
        <w:rPr>
          <w:i w:val="0"/>
        </w:rPr>
        <w:t>00,00 eura a odnosi se na isplaćenu pomoć za</w:t>
      </w:r>
      <w:r w:rsidRPr="00BF5321">
        <w:rPr>
          <w:i w:val="0"/>
        </w:rPr>
        <w:t xml:space="preserve"> Hrvatsku gorsku službu spašavanja.</w:t>
      </w:r>
    </w:p>
    <w:p w:rsidR="00BF5321" w:rsidRDefault="00BF5321" w:rsidP="00BF5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7092"/>
      </w:tblGrid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Pr="00181858" w:rsidRDefault="007327FF" w:rsidP="00A204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 Organiziranje i provođenje zaštite i spašavanja</w:t>
            </w:r>
          </w:p>
        </w:tc>
      </w:tr>
      <w:tr w:rsidR="007327FF" w:rsidRPr="00580E03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7327FF" w:rsidRPr="00580E03" w:rsidRDefault="007327FF" w:rsidP="007327FF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vatrogastvu  (NN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125/19,136/20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sustavu civilne zaštite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82/15,118/18,31/20,20/21)</w:t>
            </w:r>
          </w:p>
          <w:p w:rsidR="007327FF" w:rsidRPr="00DD03BB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:rsidR="007327FF" w:rsidRPr="00DD03BB" w:rsidRDefault="007327FF" w:rsidP="007327F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Plan operativne provedbe programa aktivnosti u provedbi</w:t>
            </w:r>
          </w:p>
          <w:p w:rsidR="007327FF" w:rsidRPr="00DD03BB" w:rsidRDefault="007327FF" w:rsidP="00A204C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Republiku Hrvatsku</w:t>
            </w:r>
          </w:p>
          <w:p w:rsidR="007327FF" w:rsidRDefault="007327FF" w:rsidP="00A204C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Općine Posedarje 03/20)</w:t>
            </w:r>
          </w:p>
          <w:p w:rsidR="007327FF" w:rsidRPr="00653E75" w:rsidRDefault="007327FF" w:rsidP="007327F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:rsidR="007327FF" w:rsidRPr="00580E03" w:rsidRDefault="007327FF" w:rsidP="00A204CE">
            <w:pPr>
              <w:pStyle w:val="ListParagraph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327FF" w:rsidRPr="003471D7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Default="007327FF" w:rsidP="007327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7327FF" w:rsidRDefault="007327FF" w:rsidP="007327F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  <w:p w:rsidR="007327FF" w:rsidRPr="00851D88" w:rsidRDefault="007327FF" w:rsidP="00851D88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181858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7327FF" w:rsidRPr="00181858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181858" w:rsidRDefault="007327FF" w:rsidP="007327F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851D88"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1D88">
              <w:rPr>
                <w:rFonts w:ascii="Times New Roman" w:hAnsi="Times New Roman" w:cs="Times New Roman"/>
              </w:rPr>
              <w:t>202.800,00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7327FF" w:rsidRPr="00CB30B0" w:rsidRDefault="007327FF" w:rsidP="007327FF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</w:t>
            </w:r>
            <w:r w:rsidR="00851D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  <w:r w:rsidRPr="00181858">
              <w:rPr>
                <w:rFonts w:ascii="Times New Roman" w:hAnsi="Times New Roman" w:cs="Times New Roman"/>
              </w:rPr>
              <w:t xml:space="preserve"> = </w:t>
            </w:r>
            <w:r w:rsidR="00851D88">
              <w:rPr>
                <w:rFonts w:ascii="Times New Roman" w:hAnsi="Times New Roman" w:cs="Times New Roman"/>
              </w:rPr>
              <w:t>199.640,22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7327FF" w:rsidRPr="00181858" w:rsidRDefault="007327FF" w:rsidP="00A204C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F" w:rsidRPr="00AF10A5" w:rsidTr="00A204CE">
        <w:tc>
          <w:tcPr>
            <w:tcW w:w="2058" w:type="dxa"/>
            <w:shd w:val="clear" w:color="auto" w:fill="95B3D7" w:themeFill="accent1" w:themeFillTint="99"/>
          </w:tcPr>
          <w:p w:rsidR="007327FF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570" w:type="dxa"/>
            <w:shd w:val="clear" w:color="auto" w:fill="DBE5F1" w:themeFill="accent1" w:themeFillTint="33"/>
          </w:tcPr>
          <w:p w:rsidR="007327FF" w:rsidRPr="00AF10A5" w:rsidRDefault="007327FF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 Broj suzbijenih aktivnih požara: Isplaćena pomoć za Hrvatsku gorsku službu spašavanja, stavljanje u funkciju vatrogasnog doma</w:t>
            </w:r>
          </w:p>
        </w:tc>
      </w:tr>
    </w:tbl>
    <w:p w:rsidR="007327FF" w:rsidRDefault="007327FF" w:rsidP="00BF5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321" w:rsidRDefault="00BF5321" w:rsidP="00BF5321">
      <w:pPr>
        <w:pStyle w:val="NoSpacing"/>
        <w:jc w:val="both"/>
        <w:rPr>
          <w:i w:val="0"/>
        </w:rPr>
      </w:pPr>
    </w:p>
    <w:p w:rsidR="005012CB" w:rsidRDefault="005012CB" w:rsidP="002E2D53">
      <w:pPr>
        <w:pStyle w:val="NoSpacing"/>
        <w:rPr>
          <w:b/>
          <w:i w:val="0"/>
        </w:rPr>
      </w:pPr>
    </w:p>
    <w:p w:rsidR="005012CB" w:rsidRPr="00851D88" w:rsidRDefault="005012CB" w:rsidP="002E2D53">
      <w:pPr>
        <w:pStyle w:val="NoSpacing"/>
        <w:rPr>
          <w:rFonts w:ascii="Calibri" w:hAnsi="Calibri" w:cs="Calibri"/>
          <w:b/>
          <w:i w:val="0"/>
        </w:rPr>
      </w:pPr>
    </w:p>
    <w:p w:rsidR="00851D88" w:rsidRPr="008F0B18" w:rsidRDefault="000C7E6D" w:rsidP="0075093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8F0B18">
        <w:rPr>
          <w:rFonts w:ascii="Calibri" w:hAnsi="Calibri" w:cs="Calibri"/>
          <w:b/>
          <w:sz w:val="22"/>
          <w:szCs w:val="22"/>
        </w:rPr>
        <w:t>Program</w:t>
      </w:r>
      <w:r w:rsidR="001B261D" w:rsidRPr="008F0B18">
        <w:rPr>
          <w:rFonts w:ascii="Calibri" w:hAnsi="Calibri" w:cs="Calibri"/>
          <w:b/>
          <w:sz w:val="22"/>
          <w:szCs w:val="22"/>
        </w:rPr>
        <w:t xml:space="preserve"> 1004</w:t>
      </w:r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b/>
          <w:sz w:val="22"/>
          <w:szCs w:val="22"/>
        </w:rPr>
        <w:t>Promicanje</w:t>
      </w:r>
      <w:proofErr w:type="spellEnd"/>
      <w:r w:rsidRPr="008F0B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b/>
          <w:sz w:val="22"/>
          <w:szCs w:val="22"/>
        </w:rPr>
        <w:t>turizma</w:t>
      </w:r>
      <w:proofErr w:type="spellEnd"/>
      <w:r w:rsidRPr="008F0B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planiran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je u </w:t>
      </w:r>
      <w:proofErr w:type="spellStart"/>
      <w:r w:rsidRPr="008F0B18">
        <w:rPr>
          <w:rFonts w:ascii="Calibri" w:hAnsi="Calibri" w:cs="Calibri"/>
          <w:sz w:val="22"/>
          <w:szCs w:val="22"/>
        </w:rPr>
        <w:t>iznosu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od</w:t>
      </w:r>
      <w:r w:rsidR="004977D4" w:rsidRPr="008F0B18">
        <w:rPr>
          <w:rFonts w:ascii="Calibri" w:hAnsi="Calibri" w:cs="Calibri"/>
          <w:sz w:val="22"/>
          <w:szCs w:val="22"/>
        </w:rPr>
        <w:t xml:space="preserve"> </w:t>
      </w:r>
      <w:r w:rsidR="00851D88" w:rsidRPr="008F0B18">
        <w:rPr>
          <w:rFonts w:ascii="Calibri" w:hAnsi="Calibri" w:cs="Calibri"/>
          <w:sz w:val="22"/>
          <w:szCs w:val="22"/>
        </w:rPr>
        <w:t>183.100,00</w:t>
      </w:r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eura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F0B18">
        <w:rPr>
          <w:rFonts w:ascii="Calibri" w:hAnsi="Calibri" w:cs="Calibri"/>
          <w:sz w:val="22"/>
          <w:szCs w:val="22"/>
        </w:rPr>
        <w:t>ostvaren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je u </w:t>
      </w:r>
      <w:proofErr w:type="spellStart"/>
      <w:r w:rsidRPr="008F0B18">
        <w:rPr>
          <w:rFonts w:ascii="Calibri" w:hAnsi="Calibri" w:cs="Calibri"/>
          <w:sz w:val="22"/>
          <w:szCs w:val="22"/>
        </w:rPr>
        <w:t>iznosu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od </w:t>
      </w:r>
      <w:r w:rsidR="00851D88" w:rsidRPr="008F0B18">
        <w:rPr>
          <w:rFonts w:ascii="Calibri" w:hAnsi="Calibri" w:cs="Calibri"/>
          <w:sz w:val="22"/>
          <w:szCs w:val="22"/>
        </w:rPr>
        <w:t xml:space="preserve">277.297,97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eura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i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indeks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izvršenja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je 151,45%.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Prilikom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planiranja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proračuna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za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2025.godinu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planirano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je da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će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nosioc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svih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aktivnosti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za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ljetna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događanja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biti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Turistička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51D88" w:rsidRPr="008F0B18">
        <w:rPr>
          <w:rFonts w:ascii="Calibri" w:hAnsi="Calibri" w:cs="Calibri"/>
          <w:sz w:val="22"/>
          <w:szCs w:val="22"/>
        </w:rPr>
        <w:t>zajednica</w:t>
      </w:r>
      <w:proofErr w:type="spellEnd"/>
      <w:r w:rsidR="00851D88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područje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novigradsko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more a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Općina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Posedarje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će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sudjelovati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kroz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pomoći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TZ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područje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5093C" w:rsidRPr="008F0B18">
        <w:rPr>
          <w:rFonts w:ascii="Calibri" w:hAnsi="Calibri" w:cs="Calibri"/>
          <w:sz w:val="22"/>
          <w:szCs w:val="22"/>
        </w:rPr>
        <w:t>Novigradsko</w:t>
      </w:r>
      <w:proofErr w:type="spellEnd"/>
      <w:r w:rsidR="0075093C" w:rsidRPr="008F0B18">
        <w:rPr>
          <w:rFonts w:ascii="Calibri" w:hAnsi="Calibri" w:cs="Calibri"/>
          <w:sz w:val="22"/>
          <w:szCs w:val="22"/>
        </w:rPr>
        <w:t xml:space="preserve"> more.</w:t>
      </w:r>
    </w:p>
    <w:p w:rsidR="0075093C" w:rsidRPr="008F0B18" w:rsidRDefault="0075093C" w:rsidP="0075093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F0B18">
        <w:rPr>
          <w:rFonts w:ascii="Calibri" w:hAnsi="Calibri" w:cs="Calibri"/>
          <w:sz w:val="22"/>
          <w:szCs w:val="22"/>
        </w:rPr>
        <w:t>Međutim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zbog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nemogućnosti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realizacije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cjelokupnog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programa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sva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ljetna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8F0B18">
        <w:rPr>
          <w:rFonts w:ascii="Calibri" w:hAnsi="Calibri" w:cs="Calibri"/>
          <w:sz w:val="22"/>
          <w:szCs w:val="22"/>
        </w:rPr>
        <w:t>događanja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 (</w:t>
      </w:r>
      <w:proofErr w:type="spellStart"/>
      <w:proofErr w:type="gramEnd"/>
      <w:r w:rsidRPr="008F0B18">
        <w:rPr>
          <w:rFonts w:ascii="Calibri" w:hAnsi="Calibri" w:cs="Calibri"/>
          <w:sz w:val="22"/>
          <w:szCs w:val="22"/>
        </w:rPr>
        <w:t>ljetne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fešte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8F0B18">
        <w:rPr>
          <w:rFonts w:ascii="Calibri" w:hAnsi="Calibri" w:cs="Calibri"/>
          <w:sz w:val="22"/>
          <w:szCs w:val="22"/>
        </w:rPr>
        <w:t>organizirala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8F0B18">
        <w:rPr>
          <w:rFonts w:ascii="Calibri" w:hAnsi="Calibri" w:cs="Calibri"/>
          <w:sz w:val="22"/>
          <w:szCs w:val="22"/>
        </w:rPr>
        <w:t>Općina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Posedarje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te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svi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troškovi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fakturirani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na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istu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iznosili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179.132,53 </w:t>
      </w:r>
      <w:proofErr w:type="spellStart"/>
      <w:r w:rsidRPr="008F0B18">
        <w:rPr>
          <w:rFonts w:ascii="Calibri" w:hAnsi="Calibri" w:cs="Calibri"/>
          <w:sz w:val="22"/>
          <w:szCs w:val="22"/>
        </w:rPr>
        <w:t>eura</w:t>
      </w:r>
      <w:proofErr w:type="spellEnd"/>
      <w:r w:rsidRPr="008F0B18">
        <w:rPr>
          <w:rFonts w:ascii="Calibri" w:hAnsi="Calibri" w:cs="Calibri"/>
          <w:sz w:val="22"/>
          <w:szCs w:val="22"/>
        </w:rPr>
        <w:t>.</w:t>
      </w:r>
    </w:p>
    <w:p w:rsidR="0075093C" w:rsidRPr="008F0B18" w:rsidRDefault="0075093C" w:rsidP="0075093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8F0B18">
        <w:rPr>
          <w:rFonts w:ascii="Calibri" w:hAnsi="Calibri" w:cs="Calibri"/>
          <w:sz w:val="22"/>
          <w:szCs w:val="22"/>
        </w:rPr>
        <w:lastRenderedPageBreak/>
        <w:t>Dio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aktivnosti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čiji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troškovi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fakturirani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na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TZ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područje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Novigradsko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more </w:t>
      </w:r>
      <w:proofErr w:type="spellStart"/>
      <w:r w:rsidRPr="008F0B18">
        <w:rPr>
          <w:rFonts w:ascii="Calibri" w:hAnsi="Calibri" w:cs="Calibri"/>
          <w:sz w:val="22"/>
          <w:szCs w:val="22"/>
        </w:rPr>
        <w:t>Općina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Posedarje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="008F0B18" w:rsidRPr="008F0B18">
        <w:rPr>
          <w:rFonts w:ascii="Calibri" w:hAnsi="Calibri" w:cs="Calibri"/>
          <w:sz w:val="22"/>
          <w:szCs w:val="22"/>
        </w:rPr>
        <w:t>su</w:t>
      </w:r>
      <w:r w:rsidRPr="008F0B18">
        <w:rPr>
          <w:rFonts w:ascii="Calibri" w:hAnsi="Calibri" w:cs="Calibri"/>
          <w:sz w:val="22"/>
          <w:szCs w:val="22"/>
        </w:rPr>
        <w:t>financirala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8F0B18">
        <w:rPr>
          <w:rFonts w:ascii="Calibri" w:hAnsi="Calibri" w:cs="Calibri"/>
          <w:sz w:val="22"/>
          <w:szCs w:val="22"/>
        </w:rPr>
        <w:t>iznosu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od 74.460,75 </w:t>
      </w:r>
      <w:proofErr w:type="spellStart"/>
      <w:r w:rsidRPr="008F0B18">
        <w:rPr>
          <w:rFonts w:ascii="Calibri" w:hAnsi="Calibri" w:cs="Calibri"/>
          <w:sz w:val="22"/>
          <w:szCs w:val="22"/>
        </w:rPr>
        <w:t>eura</w:t>
      </w:r>
      <w:proofErr w:type="spellEnd"/>
      <w:r w:rsidRPr="008F0B18">
        <w:rPr>
          <w:rFonts w:ascii="Calibri" w:hAnsi="Calibri" w:cs="Calibri"/>
          <w:sz w:val="22"/>
          <w:szCs w:val="22"/>
        </w:rPr>
        <w:t>.</w:t>
      </w:r>
      <w:r w:rsidRPr="008F0B18">
        <w:rPr>
          <w:rFonts w:ascii="Calibri" w:hAnsi="Calibri" w:cs="Calibri"/>
          <w:i/>
          <w:sz w:val="22"/>
          <w:szCs w:val="22"/>
        </w:rPr>
        <w:t xml:space="preserve"> </w:t>
      </w:r>
    </w:p>
    <w:p w:rsidR="0075093C" w:rsidRPr="008F0B18" w:rsidRDefault="0075093C" w:rsidP="0075093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8F0B18">
        <w:rPr>
          <w:rFonts w:ascii="Calibri" w:hAnsi="Calibri" w:cs="Calibri"/>
          <w:i/>
          <w:sz w:val="22"/>
          <w:szCs w:val="22"/>
        </w:rPr>
        <w:t>Aktivnost</w:t>
      </w:r>
      <w:proofErr w:type="spellEnd"/>
      <w:r w:rsidRPr="008F0B18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i/>
          <w:sz w:val="22"/>
          <w:szCs w:val="22"/>
        </w:rPr>
        <w:t>A100506</w:t>
      </w:r>
      <w:proofErr w:type="spellEnd"/>
      <w:r w:rsidRPr="008F0B18">
        <w:rPr>
          <w:rFonts w:ascii="Calibri" w:hAnsi="Calibri" w:cs="Calibri"/>
          <w:i/>
          <w:sz w:val="22"/>
          <w:szCs w:val="22"/>
        </w:rPr>
        <w:t xml:space="preserve"> Advent </w:t>
      </w:r>
      <w:proofErr w:type="spellStart"/>
      <w:r w:rsidRPr="008F0B18">
        <w:rPr>
          <w:rFonts w:ascii="Calibri" w:hAnsi="Calibri" w:cs="Calibri"/>
          <w:sz w:val="22"/>
          <w:szCs w:val="22"/>
        </w:rPr>
        <w:t>troškovi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navedene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aktivnosti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F0B18">
        <w:rPr>
          <w:rFonts w:ascii="Calibri" w:hAnsi="Calibri" w:cs="Calibri"/>
          <w:sz w:val="22"/>
          <w:szCs w:val="22"/>
        </w:rPr>
        <w:t>iznose</w:t>
      </w:r>
      <w:proofErr w:type="spellEnd"/>
      <w:r w:rsidRPr="008F0B18">
        <w:rPr>
          <w:rFonts w:ascii="Calibri" w:hAnsi="Calibri" w:cs="Calibri"/>
          <w:sz w:val="22"/>
          <w:szCs w:val="22"/>
        </w:rPr>
        <w:t xml:space="preserve"> 23.704,69 </w:t>
      </w:r>
      <w:proofErr w:type="spellStart"/>
      <w:r w:rsidRPr="008F0B18">
        <w:rPr>
          <w:rFonts w:ascii="Calibri" w:hAnsi="Calibri" w:cs="Calibri"/>
          <w:sz w:val="22"/>
          <w:szCs w:val="22"/>
        </w:rPr>
        <w:t>eura</w:t>
      </w:r>
      <w:proofErr w:type="spellEnd"/>
      <w:r w:rsidRPr="008F0B18">
        <w:rPr>
          <w:rFonts w:ascii="Calibri" w:hAnsi="Calibri" w:cs="Calibri"/>
          <w:sz w:val="22"/>
          <w:szCs w:val="22"/>
        </w:rPr>
        <w:t>.</w:t>
      </w:r>
    </w:p>
    <w:p w:rsidR="00D76D03" w:rsidRDefault="00D76D03" w:rsidP="00D76D03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Pr="00181858" w:rsidRDefault="003640DB" w:rsidP="00A204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>
              <w:rPr>
                <w:rFonts w:ascii="Times New Roman" w:hAnsi="Times New Roman" w:cs="Times New Roman"/>
              </w:rPr>
              <w:t>,144/20</w:t>
            </w:r>
            <w:r w:rsidRPr="00181858">
              <w:rPr>
                <w:rFonts w:ascii="Times New Roman" w:hAnsi="Times New Roman" w:cs="Times New Roman"/>
              </w:rPr>
              <w:t>)</w:t>
            </w:r>
          </w:p>
          <w:p w:rsidR="003640DB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3640DB" w:rsidRPr="00B32378" w:rsidRDefault="003640DB" w:rsidP="003640D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(NN 144/20) 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Organizacija manifestacija posedaračkog i Vinjeračkog ljeta</w:t>
            </w:r>
          </w:p>
          <w:p w:rsidR="003640DB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A100502 Pomoć Turističkoj zajednici Zadarske županije</w:t>
            </w:r>
          </w:p>
          <w:p w:rsidR="003640DB" w:rsidRPr="004F7510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projektK100503 Opremanje turističkog ureda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4A128D" w:rsidRDefault="003640DB" w:rsidP="003640D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A128D">
              <w:rPr>
                <w:rFonts w:ascii="Times New Roman" w:hAnsi="Times New Roman" w:cs="Times New Roman"/>
              </w:rPr>
              <w:t xml:space="preserve">Poticanje daljnjeg razvoja turizma; poticanje promocije općine </w:t>
            </w:r>
            <w:r>
              <w:rPr>
                <w:rFonts w:ascii="Times New Roman" w:hAnsi="Times New Roman" w:cs="Times New Roman"/>
              </w:rPr>
              <w:t>Posedarje</w:t>
            </w:r>
            <w:r w:rsidRPr="004A128D">
              <w:rPr>
                <w:rFonts w:ascii="Times New Roman" w:hAnsi="Times New Roman" w:cs="Times New Roman"/>
              </w:rPr>
              <w:t xml:space="preserve"> i njezinih tradicijskih običaja,;</w:t>
            </w:r>
            <w:r w:rsidRPr="004A128D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181858" w:rsidRDefault="003640DB" w:rsidP="003640D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181858">
              <w:rPr>
                <w:rFonts w:ascii="Times New Roman" w:hAnsi="Times New Roman" w:cs="Times New Roman"/>
              </w:rPr>
              <w:t>202</w:t>
            </w:r>
            <w:r w:rsidR="0075093C"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5093C">
              <w:rPr>
                <w:rFonts w:ascii="Times New Roman" w:hAnsi="Times New Roman" w:cs="Times New Roman"/>
              </w:rPr>
              <w:t>183.100,00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3640DB" w:rsidRPr="00181858" w:rsidRDefault="003640DB" w:rsidP="003640D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Izvršenjo u 202</w:t>
            </w:r>
            <w:r w:rsidR="007509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.g.= </w:t>
            </w:r>
            <w:r w:rsidR="0075093C">
              <w:rPr>
                <w:rFonts w:ascii="Times New Roman" w:hAnsi="Times New Roman" w:cs="Times New Roman"/>
              </w:rPr>
              <w:t>277.297,97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3640DB" w:rsidRPr="00181858" w:rsidRDefault="003640DB" w:rsidP="00A204C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DB" w:rsidTr="00A204CE">
        <w:tc>
          <w:tcPr>
            <w:tcW w:w="2093" w:type="dxa"/>
            <w:shd w:val="clear" w:color="auto" w:fill="95B3D7" w:themeFill="accent1" w:themeFillTint="99"/>
          </w:tcPr>
          <w:p w:rsidR="003640DB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3640DB" w:rsidRPr="00AF10A5" w:rsidRDefault="003640DB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</w:tbl>
    <w:p w:rsidR="003640DB" w:rsidRDefault="003640DB" w:rsidP="0036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0DB" w:rsidRPr="003640DB" w:rsidRDefault="003640DB" w:rsidP="000C7E6D">
      <w:pPr>
        <w:spacing w:after="0"/>
        <w:jc w:val="both"/>
        <w:rPr>
          <w:rFonts w:cstheme="minorHAnsi"/>
        </w:rPr>
      </w:pPr>
    </w:p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E6D" w:rsidRDefault="000C7E6D" w:rsidP="000C7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E6D" w:rsidRDefault="000C7E6D" w:rsidP="002E2D53">
      <w:pPr>
        <w:pStyle w:val="NoSpacing"/>
        <w:rPr>
          <w:b/>
          <w:i w:val="0"/>
        </w:rPr>
      </w:pPr>
    </w:p>
    <w:p w:rsidR="00124D27" w:rsidRPr="00124D27" w:rsidRDefault="00124D27" w:rsidP="003D13CD">
      <w:pPr>
        <w:pStyle w:val="NoSpacing"/>
        <w:jc w:val="both"/>
        <w:rPr>
          <w:rFonts w:eastAsia="Calibri"/>
          <w:i w:val="0"/>
          <w:noProof/>
        </w:rPr>
      </w:pPr>
      <w:r w:rsidRPr="001B261D">
        <w:rPr>
          <w:b/>
          <w:i w:val="0"/>
        </w:rPr>
        <w:t>Program</w:t>
      </w:r>
      <w:r w:rsidR="001B261D" w:rsidRPr="001B261D">
        <w:rPr>
          <w:b/>
          <w:i w:val="0"/>
        </w:rPr>
        <w:t xml:space="preserve"> 1005</w:t>
      </w:r>
      <w:r w:rsidRPr="00124D27">
        <w:rPr>
          <w:i w:val="0"/>
        </w:rPr>
        <w:t xml:space="preserve"> </w:t>
      </w:r>
      <w:r w:rsidRPr="00124D27">
        <w:rPr>
          <w:b/>
          <w:i w:val="0"/>
        </w:rPr>
        <w:t>Zaštita okoliša</w:t>
      </w:r>
      <w:r w:rsidRPr="00124D27">
        <w:rPr>
          <w:i w:val="0"/>
        </w:rPr>
        <w:t xml:space="preserve"> </w:t>
      </w:r>
      <w:r w:rsidRPr="00124D27">
        <w:rPr>
          <w:rFonts w:eastAsia="Calibri"/>
          <w:i w:val="0"/>
          <w:noProof/>
        </w:rPr>
        <w:t xml:space="preserve"> obuhvaća aktivnosti i projekte koji su od općeg značaja i izravno utječu na zaštitu okoliša i poboljšanje uvjeta života.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i w:val="0"/>
          <w:noProof/>
          <w:snapToGrid w:val="0"/>
        </w:rPr>
        <w:t>Cilj programa je unaprijediti stanje u okolišu, odnosno kvalitetu praćenja ili mjerenja pojedinih sastavnica okoliša. Ukupno planirana sredstva za relaizaciju ovog programa za 202</w:t>
      </w:r>
      <w:r w:rsidR="00217EF8">
        <w:rPr>
          <w:rFonts w:eastAsia="Calibri"/>
          <w:i w:val="0"/>
          <w:noProof/>
          <w:snapToGrid w:val="0"/>
        </w:rPr>
        <w:t>5</w:t>
      </w:r>
      <w:r w:rsidRPr="00124D27">
        <w:rPr>
          <w:rFonts w:eastAsia="Calibri"/>
          <w:i w:val="0"/>
          <w:noProof/>
          <w:snapToGrid w:val="0"/>
        </w:rPr>
        <w:t xml:space="preserve">. godinu iznose </w:t>
      </w:r>
      <w:r w:rsidR="00217EF8">
        <w:rPr>
          <w:rFonts w:eastAsia="Calibri"/>
          <w:i w:val="0"/>
          <w:noProof/>
          <w:snapToGrid w:val="0"/>
        </w:rPr>
        <w:t>687.757,00</w:t>
      </w:r>
      <w:r>
        <w:rPr>
          <w:rFonts w:eastAsia="Calibri"/>
          <w:i w:val="0"/>
          <w:noProof/>
          <w:snapToGrid w:val="0"/>
        </w:rPr>
        <w:t xml:space="preserve">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Program obuhvaća slijedeće aktivnosti: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A100601 Odvoz otpada i deratizacija</w:t>
      </w:r>
      <w:r>
        <w:rPr>
          <w:rFonts w:eastAsia="Calibri"/>
          <w:i w:val="0"/>
          <w:noProof/>
          <w:snapToGrid w:val="0"/>
        </w:rPr>
        <w:t xml:space="preserve"> planirana je u iznosu od </w:t>
      </w:r>
      <w:r w:rsidR="00217EF8">
        <w:rPr>
          <w:rFonts w:eastAsia="Calibri"/>
          <w:i w:val="0"/>
          <w:noProof/>
          <w:snapToGrid w:val="0"/>
        </w:rPr>
        <w:t>124.405,00</w:t>
      </w:r>
      <w:r w:rsidR="003640DB">
        <w:rPr>
          <w:rFonts w:eastAsia="Calibri"/>
          <w:i w:val="0"/>
          <w:noProof/>
          <w:snapToGrid w:val="0"/>
        </w:rPr>
        <w:t xml:space="preserve"> eura </w:t>
      </w:r>
      <w:r>
        <w:rPr>
          <w:rFonts w:eastAsia="Calibri"/>
          <w:i w:val="0"/>
          <w:noProof/>
          <w:snapToGrid w:val="0"/>
        </w:rPr>
        <w:t xml:space="preserve"> a izvršena u iznosu od </w:t>
      </w:r>
      <w:r w:rsidR="00217EF8">
        <w:rPr>
          <w:rFonts w:eastAsia="Calibri"/>
          <w:i w:val="0"/>
          <w:noProof/>
          <w:snapToGrid w:val="0"/>
        </w:rPr>
        <w:t>90.847,87</w:t>
      </w:r>
      <w:r>
        <w:rPr>
          <w:rFonts w:eastAsia="Calibri"/>
          <w:i w:val="0"/>
          <w:noProof/>
          <w:snapToGrid w:val="0"/>
        </w:rPr>
        <w:t xml:space="preserve"> eura.</w:t>
      </w:r>
    </w:p>
    <w:p w:rsidR="00124D27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t>Aktivnost obuhvaća usluge odvoza kućnog otpada, otpada koji se zbrinjava u kontejnerima, usluge redovite deratizacije i dezinsekcije.</w:t>
      </w:r>
    </w:p>
    <w:p w:rsidR="00810A8B" w:rsidRDefault="00124D27" w:rsidP="003D13CD">
      <w:pPr>
        <w:pStyle w:val="NoSpacing"/>
        <w:jc w:val="both"/>
        <w:rPr>
          <w:rFonts w:eastAsia="Calibri"/>
          <w:i w:val="0"/>
          <w:noProof/>
          <w:snapToGrid w:val="0"/>
        </w:rPr>
      </w:pPr>
      <w:r w:rsidRPr="00124D27">
        <w:rPr>
          <w:rFonts w:eastAsia="Calibri"/>
          <w:noProof/>
          <w:snapToGrid w:val="0"/>
        </w:rPr>
        <w:t>Aktivnost A100604 Sanacija nelegalnih odlagališta</w:t>
      </w:r>
      <w:r>
        <w:rPr>
          <w:rFonts w:eastAsia="Calibri"/>
          <w:i w:val="0"/>
          <w:noProof/>
          <w:snapToGrid w:val="0"/>
        </w:rPr>
        <w:t xml:space="preserve"> planirana je u iznosu od </w:t>
      </w:r>
      <w:r w:rsidR="00217EF8">
        <w:rPr>
          <w:rFonts w:eastAsia="Calibri"/>
          <w:i w:val="0"/>
          <w:noProof/>
          <w:snapToGrid w:val="0"/>
        </w:rPr>
        <w:t>30.000,00</w:t>
      </w:r>
      <w:r>
        <w:rPr>
          <w:rFonts w:eastAsia="Calibri"/>
          <w:i w:val="0"/>
          <w:noProof/>
          <w:snapToGrid w:val="0"/>
        </w:rPr>
        <w:t xml:space="preserve"> eura a izvršena u iznoso od </w:t>
      </w:r>
      <w:r w:rsidR="00217EF8">
        <w:rPr>
          <w:rFonts w:eastAsia="Calibri"/>
          <w:i w:val="0"/>
          <w:noProof/>
          <w:snapToGrid w:val="0"/>
        </w:rPr>
        <w:t>24.066,25</w:t>
      </w:r>
      <w:r>
        <w:rPr>
          <w:rFonts w:eastAsia="Calibri"/>
          <w:i w:val="0"/>
          <w:noProof/>
          <w:snapToGrid w:val="0"/>
        </w:rPr>
        <w:t xml:space="preserve"> eura. Nažalost, na području općine još uvijek postoje nelegalna odlagališta otpada k</w:t>
      </w:r>
      <w:r w:rsidR="003640DB">
        <w:rPr>
          <w:rFonts w:eastAsia="Calibri"/>
          <w:i w:val="0"/>
          <w:noProof/>
          <w:snapToGrid w:val="0"/>
        </w:rPr>
        <w:t>oja se tijekom godine saniraju.</w:t>
      </w:r>
    </w:p>
    <w:p w:rsidR="00217EF8" w:rsidRDefault="00810A8B" w:rsidP="00124D27">
      <w:pPr>
        <w:pStyle w:val="NoSpacing"/>
        <w:rPr>
          <w:rFonts w:eastAsia="Calibri"/>
          <w:i w:val="0"/>
          <w:noProof/>
          <w:snapToGrid w:val="0"/>
        </w:rPr>
      </w:pPr>
      <w:r w:rsidRPr="00810A8B">
        <w:rPr>
          <w:rFonts w:eastAsia="Calibri"/>
          <w:noProof/>
          <w:snapToGrid w:val="0"/>
        </w:rPr>
        <w:t>Kapitalni projekt K10060</w:t>
      </w:r>
      <w:r w:rsidR="003640DB">
        <w:rPr>
          <w:rFonts w:eastAsia="Calibri"/>
          <w:noProof/>
          <w:snapToGrid w:val="0"/>
        </w:rPr>
        <w:t xml:space="preserve">5 </w:t>
      </w:r>
      <w:r w:rsidR="00217EF8">
        <w:rPr>
          <w:rFonts w:eastAsia="Calibri"/>
          <w:noProof/>
          <w:snapToGrid w:val="0"/>
        </w:rPr>
        <w:t xml:space="preserve">Elaborati za zaštitu okoliša </w:t>
      </w:r>
      <w:r w:rsidR="00217EF8">
        <w:rPr>
          <w:rFonts w:eastAsia="Calibri"/>
          <w:i w:val="0"/>
          <w:noProof/>
          <w:snapToGrid w:val="0"/>
        </w:rPr>
        <w:t>planirani su u iznosu od 20.000,00 eura a izvršeni u iznosu od 4.875,00 eura.</w:t>
      </w:r>
    </w:p>
    <w:p w:rsidR="00217EF8" w:rsidRPr="00217EF8" w:rsidRDefault="00217EF8" w:rsidP="00124D27">
      <w:pPr>
        <w:pStyle w:val="NoSpacing"/>
        <w:rPr>
          <w:rFonts w:eastAsia="Calibri"/>
          <w:noProof/>
          <w:snapToGrid w:val="0"/>
        </w:rPr>
      </w:pPr>
      <w:r w:rsidRPr="00217EF8">
        <w:rPr>
          <w:rFonts w:eastAsia="Calibri"/>
          <w:noProof/>
          <w:snapToGrid w:val="0"/>
        </w:rPr>
        <w:t>Aktivnost A100607 Sufiannciranje skloništa za pse</w:t>
      </w:r>
    </w:p>
    <w:p w:rsidR="00217EF8" w:rsidRPr="00217EF8" w:rsidRDefault="00217EF8" w:rsidP="00217EF8">
      <w:pPr>
        <w:pStyle w:val="NoSpacing"/>
        <w:rPr>
          <w:rFonts w:eastAsia="Calibri"/>
          <w:i w:val="0"/>
          <w:noProof/>
          <w:snapToGrid w:val="0"/>
        </w:rPr>
      </w:pPr>
      <w:r>
        <w:rPr>
          <w:rFonts w:eastAsia="Calibri"/>
          <w:i w:val="0"/>
          <w:noProof/>
          <w:snapToGrid w:val="0"/>
        </w:rPr>
        <w:lastRenderedPageBreak/>
        <w:t xml:space="preserve">Općina Posedarje je potpisnik sporazuma  za sufinanciranje troškova rada  </w:t>
      </w:r>
      <w:r w:rsidRPr="00217EF8">
        <w:rPr>
          <w:rFonts w:eastAsia="Calibri"/>
          <w:i w:val="0"/>
          <w:noProof/>
          <w:snapToGrid w:val="0"/>
        </w:rPr>
        <w:t>s</w:t>
      </w:r>
      <w:r w:rsidRPr="00217EF8">
        <w:rPr>
          <w:i w:val="0"/>
        </w:rPr>
        <w:t>klonište za napuštene i izgubljene životinje Zadarske županije</w:t>
      </w:r>
      <w:r>
        <w:rPr>
          <w:i w:val="0"/>
        </w:rPr>
        <w:t>. Međutim u 2025.godini nije bilo zahtjeva za doznaku sredstava.</w:t>
      </w:r>
    </w:p>
    <w:p w:rsidR="003640DB" w:rsidRDefault="00217EF8" w:rsidP="00124D27">
      <w:pPr>
        <w:pStyle w:val="NoSpacing"/>
        <w:rPr>
          <w:rFonts w:eastAsia="Calibri"/>
          <w:i w:val="0"/>
          <w:noProof/>
          <w:snapToGrid w:val="0"/>
        </w:rPr>
      </w:pPr>
      <w:r>
        <w:rPr>
          <w:rFonts w:eastAsia="Calibri"/>
          <w:noProof/>
          <w:snapToGrid w:val="0"/>
        </w:rPr>
        <w:t xml:space="preserve">Kapitalni projekt </w:t>
      </w:r>
      <w:r w:rsidR="003640DB">
        <w:rPr>
          <w:rFonts w:eastAsia="Calibri"/>
          <w:noProof/>
          <w:snapToGrid w:val="0"/>
        </w:rPr>
        <w:t>Ozelenjavanje Općine</w:t>
      </w:r>
      <w:r w:rsidR="00810A8B">
        <w:rPr>
          <w:rFonts w:eastAsia="Calibri"/>
          <w:noProof/>
          <w:snapToGrid w:val="0"/>
        </w:rPr>
        <w:t xml:space="preserve"> </w:t>
      </w:r>
      <w:r w:rsidR="00810A8B">
        <w:rPr>
          <w:rFonts w:eastAsia="Calibri"/>
          <w:i w:val="0"/>
          <w:noProof/>
          <w:snapToGrid w:val="0"/>
        </w:rPr>
        <w:t xml:space="preserve">planiran u iznosu od </w:t>
      </w:r>
      <w:r>
        <w:rPr>
          <w:rFonts w:eastAsia="Calibri"/>
          <w:i w:val="0"/>
          <w:noProof/>
          <w:snapToGrid w:val="0"/>
        </w:rPr>
        <w:t>505.000,00</w:t>
      </w:r>
      <w:r w:rsidR="00810A8B">
        <w:rPr>
          <w:rFonts w:eastAsia="Calibri"/>
          <w:i w:val="0"/>
          <w:noProof/>
          <w:snapToGrid w:val="0"/>
        </w:rPr>
        <w:t xml:space="preserve"> eur</w:t>
      </w:r>
      <w:r w:rsidR="003640DB">
        <w:rPr>
          <w:rFonts w:eastAsia="Calibri"/>
          <w:i w:val="0"/>
          <w:noProof/>
          <w:snapToGrid w:val="0"/>
        </w:rPr>
        <w:t>a</w:t>
      </w:r>
      <w:r w:rsidR="00810A8B">
        <w:rPr>
          <w:rFonts w:eastAsia="Calibri"/>
          <w:i w:val="0"/>
          <w:noProof/>
          <w:snapToGrid w:val="0"/>
        </w:rPr>
        <w:t xml:space="preserve"> a izvršen u iznosu od </w:t>
      </w:r>
      <w:r>
        <w:rPr>
          <w:rFonts w:eastAsia="Calibri"/>
          <w:i w:val="0"/>
          <w:noProof/>
          <w:snapToGrid w:val="0"/>
        </w:rPr>
        <w:t>37.625,00 eura.</w:t>
      </w:r>
      <w:r w:rsidR="00A3547C">
        <w:rPr>
          <w:rFonts w:eastAsia="Calibri"/>
          <w:i w:val="0"/>
          <w:noProof/>
          <w:snapToGrid w:val="0"/>
        </w:rPr>
        <w:t xml:space="preserve"> U 20</w:t>
      </w:r>
      <w:r w:rsidR="006877CA">
        <w:rPr>
          <w:rFonts w:eastAsia="Calibri"/>
          <w:i w:val="0"/>
          <w:noProof/>
          <w:snapToGrid w:val="0"/>
        </w:rPr>
        <w:t>25</w:t>
      </w:r>
      <w:r w:rsidR="00A3547C">
        <w:rPr>
          <w:rFonts w:eastAsia="Calibri"/>
          <w:i w:val="0"/>
          <w:noProof/>
          <w:snapToGrid w:val="0"/>
        </w:rPr>
        <w:t>.godini izvršeni su troškovi izrade projektne dokumenta</w:t>
      </w:r>
      <w:r w:rsidR="008F0B18">
        <w:rPr>
          <w:rFonts w:eastAsia="Calibri"/>
          <w:i w:val="0"/>
          <w:noProof/>
          <w:snapToGrid w:val="0"/>
        </w:rPr>
        <w:t>cije u iznosu od 37.625,00 eura a realizacija projekta bit će u 2026.godini.</w:t>
      </w:r>
    </w:p>
    <w:p w:rsidR="003640DB" w:rsidRDefault="00810A8B" w:rsidP="003640DB">
      <w:pPr>
        <w:spacing w:after="0"/>
        <w:jc w:val="both"/>
        <w:rPr>
          <w:rFonts w:cstheme="minorHAnsi"/>
        </w:rPr>
      </w:pPr>
      <w:r w:rsidRPr="003640DB">
        <w:rPr>
          <w:rFonts w:eastAsia="Calibri" w:cstheme="minorHAnsi"/>
          <w:i/>
          <w:noProof/>
          <w:snapToGrid w:val="0"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8"/>
        <w:gridCol w:w="7084"/>
      </w:tblGrid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 w:rsidRPr="00816BFE">
              <w:t>NN 94/13, NN 73 17, NN 73/17, NN 14/19, NN 98/19).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A204CE" w:rsidRPr="00816BFE" w:rsidRDefault="00A204CE" w:rsidP="00A204CE"/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 održavanje  komunalne infrastrukture na području Općine Posed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</w:t>
            </w: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rje za 2022. godinu (Službeni glasnik Općine Posedarje 7/21)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Čistoćom Zadar o odvozu otpada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s Cianom Split o provođenju sustava deratizacije i dezisekcije</w:t>
            </w:r>
          </w:p>
          <w:p w:rsidR="00A204CE" w:rsidRPr="00816BFE" w:rsidRDefault="00A204CE" w:rsidP="00A204CE">
            <w:pPr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bCs/>
                <w:sz w:val="24"/>
                <w:szCs w:val="24"/>
              </w:rPr>
              <w:t>Ugovor o stručnom nadzoru nad provedbom mjera preventivne i obvezne preventivne  dezinfekcije, dezinskecije i deratizacije na području Općine Posedarje.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A100601 Odvoz otpada, deratizacija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16BFE"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A1006052 Elaborati za zaštitu okoliša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K100605 Ozelenjavanje Općine Posedarje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816BFE">
              <w:rPr>
                <w:rFonts w:ascii="Times New Roman" w:hAnsi="Times New Roman" w:cs="Times New Roman"/>
              </w:rPr>
              <w:t>202</w:t>
            </w:r>
            <w:r w:rsidR="00A3547C">
              <w:rPr>
                <w:rFonts w:ascii="Times New Roman" w:hAnsi="Times New Roman" w:cs="Times New Roman"/>
              </w:rPr>
              <w:t>5</w:t>
            </w:r>
            <w:r w:rsidRPr="00816BFE">
              <w:rPr>
                <w:rFonts w:ascii="Times New Roman" w:hAnsi="Times New Roman" w:cs="Times New Roman"/>
              </w:rPr>
              <w:t xml:space="preserve">. godina = </w:t>
            </w:r>
            <w:r w:rsidR="00A3547C">
              <w:rPr>
                <w:rFonts w:ascii="Times New Roman" w:hAnsi="Times New Roman" w:cs="Times New Roman"/>
              </w:rPr>
              <w:t>687.757,00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204CE" w:rsidRPr="00816BFE" w:rsidRDefault="00A204C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</w:t>
            </w:r>
            <w:r w:rsidR="006877C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.godine= </w:t>
            </w:r>
            <w:r w:rsidR="00A3547C">
              <w:rPr>
                <w:rFonts w:ascii="Times New Roman" w:hAnsi="Times New Roman" w:cs="Times New Roman"/>
              </w:rPr>
              <w:t>157.414,12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204CE" w:rsidRPr="00816BFE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CE" w:rsidRPr="00816BFE" w:rsidTr="00A204CE">
        <w:tc>
          <w:tcPr>
            <w:tcW w:w="2093" w:type="dxa"/>
            <w:shd w:val="clear" w:color="auto" w:fill="95B3D7" w:themeFill="accent1" w:themeFillTint="99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816BFE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E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p w:rsidR="00A204CE" w:rsidRPr="003640DB" w:rsidRDefault="00A204CE" w:rsidP="003640DB">
      <w:pPr>
        <w:spacing w:after="0"/>
        <w:jc w:val="both"/>
        <w:rPr>
          <w:rFonts w:cstheme="minorHAnsi"/>
        </w:rPr>
      </w:pPr>
    </w:p>
    <w:p w:rsidR="00124D27" w:rsidRDefault="00124D27" w:rsidP="00124D27">
      <w:pPr>
        <w:pStyle w:val="NoSpacing"/>
        <w:rPr>
          <w:rFonts w:eastAsia="Calibri"/>
          <w:i w:val="0"/>
          <w:noProof/>
          <w:snapToGrid w:val="0"/>
        </w:rPr>
      </w:pPr>
    </w:p>
    <w:p w:rsidR="003640DB" w:rsidRPr="00124D27" w:rsidRDefault="003640DB" w:rsidP="00124D27">
      <w:pPr>
        <w:pStyle w:val="NoSpacing"/>
        <w:rPr>
          <w:rFonts w:eastAsia="Calibri"/>
          <w:i w:val="0"/>
          <w:noProof/>
          <w:snapToGrid w:val="0"/>
        </w:rPr>
      </w:pP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1B261D">
        <w:rPr>
          <w:b/>
          <w:i w:val="0"/>
        </w:rPr>
        <w:t>Program</w:t>
      </w:r>
      <w:r w:rsidR="001B261D">
        <w:rPr>
          <w:i w:val="0"/>
        </w:rPr>
        <w:t xml:space="preserve"> </w:t>
      </w:r>
      <w:r w:rsidR="001B261D" w:rsidRPr="001B261D">
        <w:rPr>
          <w:b/>
          <w:i w:val="0"/>
        </w:rPr>
        <w:t>1007</w:t>
      </w:r>
      <w:r w:rsidRPr="00810A8B">
        <w:rPr>
          <w:i w:val="0"/>
        </w:rPr>
        <w:t xml:space="preserve"> </w:t>
      </w:r>
      <w:r w:rsidRPr="00810A8B">
        <w:rPr>
          <w:b/>
          <w:i w:val="0"/>
        </w:rPr>
        <w:t>Održavanje komunalne infrastrukture</w:t>
      </w:r>
      <w:r w:rsidRPr="00810A8B">
        <w:rPr>
          <w:i w:val="0"/>
        </w:rPr>
        <w:t xml:space="preserve"> planiran je u iznosu od </w:t>
      </w:r>
      <w:r w:rsidR="00A3547C">
        <w:rPr>
          <w:i w:val="0"/>
        </w:rPr>
        <w:t>1.674.604,00</w:t>
      </w:r>
      <w:r w:rsidRPr="00810A8B">
        <w:rPr>
          <w:i w:val="0"/>
        </w:rPr>
        <w:t xml:space="preserve"> eura a izvršen u iznosu od </w:t>
      </w:r>
      <w:r w:rsidR="00A3547C">
        <w:rPr>
          <w:i w:val="0"/>
        </w:rPr>
        <w:t>906.617,48</w:t>
      </w:r>
      <w:r w:rsidRPr="00810A8B">
        <w:rPr>
          <w:i w:val="0"/>
        </w:rPr>
        <w:t xml:space="preserve"> eura. </w:t>
      </w:r>
      <w:r w:rsidRPr="00810A8B">
        <w:rPr>
          <w:rFonts w:eastAsia="Calibri"/>
          <w:i w:val="0"/>
        </w:rPr>
        <w:t xml:space="preserve">Programom održavanja komunalne infrastrukture određuju </w:t>
      </w:r>
      <w:r w:rsidRPr="00810A8B">
        <w:rPr>
          <w:rFonts w:eastAsia="Calibri"/>
          <w:i w:val="0"/>
        </w:rPr>
        <w:lastRenderedPageBreak/>
        <w:t>radovi na održavanju objekata i uređaja komunalne infrastrukture koji se razumijevaju obavljanjem komunalnih djelatnosti te obuhvaća slijedeće aktivnosti:</w:t>
      </w:r>
    </w:p>
    <w:p w:rsidR="00810A8B" w:rsidRP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Aktivnost A100701 održavanje javnih površina</w:t>
      </w:r>
      <w:r>
        <w:rPr>
          <w:rFonts w:eastAsia="Calibri"/>
          <w:i w:val="0"/>
        </w:rPr>
        <w:t xml:space="preserve"> </w:t>
      </w:r>
      <w:r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 xml:space="preserve"> je u </w:t>
      </w:r>
      <w:r w:rsidRPr="00810A8B">
        <w:rPr>
          <w:rFonts w:eastAsia="Calibri"/>
          <w:i w:val="0"/>
        </w:rPr>
        <w:t xml:space="preserve"> iznos</w:t>
      </w:r>
      <w:r>
        <w:rPr>
          <w:rFonts w:eastAsia="Calibri"/>
          <w:i w:val="0"/>
        </w:rPr>
        <w:t>u</w:t>
      </w:r>
      <w:r w:rsidR="00A3547C">
        <w:rPr>
          <w:rFonts w:eastAsia="Calibri"/>
          <w:i w:val="0"/>
        </w:rPr>
        <w:t xml:space="preserve"> 326.500,00</w:t>
      </w:r>
      <w:r>
        <w:rPr>
          <w:rFonts w:eastAsia="Calibri"/>
          <w:i w:val="0"/>
        </w:rPr>
        <w:t xml:space="preserve"> eura a izvršen u iznosu od </w:t>
      </w:r>
      <w:r w:rsidR="00A3547C">
        <w:rPr>
          <w:rFonts w:eastAsia="Calibri"/>
          <w:i w:val="0"/>
        </w:rPr>
        <w:t>103.770,75</w:t>
      </w:r>
      <w:r>
        <w:rPr>
          <w:rFonts w:eastAsia="Calibri"/>
          <w:i w:val="0"/>
        </w:rPr>
        <w:t xml:space="preserve"> eura.</w:t>
      </w:r>
    </w:p>
    <w:p w:rsid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javnih  površina podrazumijeva se</w:t>
      </w:r>
      <w:r w:rsidR="009D38D3">
        <w:rPr>
          <w:i w:val="0"/>
        </w:rPr>
        <w:t xml:space="preserve"> održavanje javnih zelenih površima koje se provodi </w:t>
      </w:r>
      <w:r w:rsidRPr="00810A8B">
        <w:rPr>
          <w:i w:val="0"/>
        </w:rPr>
        <w:t xml:space="preserve"> </w:t>
      </w:r>
      <w:r w:rsidR="009D38D3">
        <w:rPr>
          <w:i w:val="0"/>
        </w:rPr>
        <w:t>uređivanjem i održavanjem javnih zelenih površina.</w:t>
      </w:r>
      <w:r w:rsidRPr="00810A8B">
        <w:rPr>
          <w:i w:val="0"/>
        </w:rPr>
        <w:t xml:space="preserve"> </w:t>
      </w:r>
    </w:p>
    <w:p w:rsidR="009D38D3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</w:t>
      </w:r>
      <w:r w:rsidR="00810A8B" w:rsidRPr="009D38D3">
        <w:rPr>
          <w:rFonts w:eastAsia="Calibri"/>
        </w:rPr>
        <w:t>ktivnost A100702</w:t>
      </w:r>
      <w:r w:rsidRPr="009D38D3">
        <w:rPr>
          <w:rFonts w:eastAsia="Calibri"/>
        </w:rPr>
        <w:t xml:space="preserve"> održavanje nerazvrstanih cesta (lokalnih puteva</w:t>
      </w:r>
      <w:r>
        <w:rPr>
          <w:rFonts w:eastAsia="Calibri"/>
          <w:i w:val="0"/>
        </w:rPr>
        <w:t>)</w:t>
      </w:r>
      <w:r w:rsidR="00810A8B" w:rsidRPr="00810A8B">
        <w:rPr>
          <w:rFonts w:eastAsia="Calibri"/>
          <w:i w:val="0"/>
        </w:rPr>
        <w:t xml:space="preserve"> planiran</w:t>
      </w:r>
      <w:r>
        <w:rPr>
          <w:rFonts w:eastAsia="Calibri"/>
          <w:i w:val="0"/>
        </w:rPr>
        <w:t xml:space="preserve">a je u iznosu od </w:t>
      </w:r>
      <w:r w:rsidR="00A3547C">
        <w:rPr>
          <w:rFonts w:eastAsia="Calibri"/>
          <w:i w:val="0"/>
        </w:rPr>
        <w:t>255.000,00</w:t>
      </w:r>
      <w:r>
        <w:rPr>
          <w:rFonts w:eastAsia="Calibri"/>
          <w:i w:val="0"/>
        </w:rPr>
        <w:t xml:space="preserve"> eura a izvršena u iznosu od </w:t>
      </w:r>
      <w:r w:rsidR="00A3547C">
        <w:rPr>
          <w:rFonts w:eastAsia="Calibri"/>
          <w:i w:val="0"/>
        </w:rPr>
        <w:t>141.746,75</w:t>
      </w:r>
      <w:r>
        <w:rPr>
          <w:rFonts w:eastAsia="Calibri"/>
          <w:i w:val="0"/>
        </w:rPr>
        <w:t xml:space="preserve"> eura.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>
        <w:rPr>
          <w:rFonts w:eastAsia="Calibri"/>
          <w:i w:val="0"/>
        </w:rPr>
        <w:t xml:space="preserve">Pod </w:t>
      </w:r>
      <w:r w:rsidR="00810A8B" w:rsidRPr="00810A8B">
        <w:rPr>
          <w:i w:val="0"/>
        </w:rPr>
        <w:t>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:rsidR="00810A8B" w:rsidRPr="00810A8B" w:rsidRDefault="009D38D3" w:rsidP="009D38D3">
      <w:pPr>
        <w:pStyle w:val="NoSpacing"/>
        <w:jc w:val="both"/>
        <w:rPr>
          <w:i w:val="0"/>
        </w:rPr>
      </w:pPr>
      <w:r w:rsidRPr="009D38D3">
        <w:t>Aktivnost A100703 održavanje javne rasvjete</w:t>
      </w:r>
      <w:r>
        <w:rPr>
          <w:i w:val="0"/>
        </w:rPr>
        <w:t xml:space="preserve"> planirana je u iznosu od </w:t>
      </w:r>
      <w:r w:rsidR="00A3547C">
        <w:rPr>
          <w:i w:val="0"/>
        </w:rPr>
        <w:t>340.684,00</w:t>
      </w:r>
      <w:r>
        <w:rPr>
          <w:i w:val="0"/>
        </w:rPr>
        <w:t xml:space="preserve"> eur</w:t>
      </w:r>
      <w:r w:rsidR="00A204CE">
        <w:rPr>
          <w:i w:val="0"/>
        </w:rPr>
        <w:t>a</w:t>
      </w:r>
      <w:r>
        <w:rPr>
          <w:i w:val="0"/>
        </w:rPr>
        <w:t xml:space="preserve"> a izvršena u </w:t>
      </w:r>
      <w:r w:rsidR="00A204CE">
        <w:rPr>
          <w:i w:val="0"/>
        </w:rPr>
        <w:t xml:space="preserve">iznosu od </w:t>
      </w:r>
      <w:r w:rsidR="00A3547C">
        <w:rPr>
          <w:i w:val="0"/>
        </w:rPr>
        <w:t>290.291,83</w:t>
      </w:r>
      <w:r w:rsidR="00A204CE">
        <w:rPr>
          <w:i w:val="0"/>
        </w:rPr>
        <w:t xml:space="preserve"> eura.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javne rasvjete podrazumijeva se upravljanje i održavanje instalacija javne rasvjete, uključujući podmirivanje troškova električne energije za rasvjetljavanje površina javne namjene.</w:t>
      </w:r>
    </w:p>
    <w:p w:rsidR="00810A8B" w:rsidRPr="00810A8B" w:rsidRDefault="009D38D3" w:rsidP="00810A8B">
      <w:pPr>
        <w:pStyle w:val="NoSpacing"/>
        <w:jc w:val="both"/>
        <w:rPr>
          <w:i w:val="0"/>
        </w:rPr>
      </w:pPr>
      <w:r w:rsidRPr="009D38D3">
        <w:t xml:space="preserve">Aktivnost A100704 </w:t>
      </w:r>
      <w:r w:rsidR="00810A8B" w:rsidRPr="009D38D3">
        <w:t>opskrba mještana vodom s hidranata</w:t>
      </w:r>
      <w:r>
        <w:rPr>
          <w:i w:val="0"/>
        </w:rPr>
        <w:t xml:space="preserve"> </w:t>
      </w:r>
      <w:r w:rsidR="00810A8B" w:rsidRPr="00810A8B">
        <w:rPr>
          <w:i w:val="0"/>
        </w:rPr>
        <w:t xml:space="preserve"> planiran</w:t>
      </w:r>
      <w:r>
        <w:rPr>
          <w:i w:val="0"/>
        </w:rPr>
        <w:t xml:space="preserve">a je u iznosu od </w:t>
      </w:r>
      <w:r w:rsidR="00A3547C">
        <w:rPr>
          <w:i w:val="0"/>
        </w:rPr>
        <w:t>50.272,00</w:t>
      </w:r>
      <w:r>
        <w:rPr>
          <w:i w:val="0"/>
        </w:rPr>
        <w:t xml:space="preserve"> eura a izvršena u iznosu od </w:t>
      </w:r>
      <w:r w:rsidR="00A3547C">
        <w:rPr>
          <w:i w:val="0"/>
        </w:rPr>
        <w:t>25.800,60</w:t>
      </w:r>
      <w:r>
        <w:rPr>
          <w:i w:val="0"/>
        </w:rPr>
        <w:t xml:space="preserve"> eura.</w:t>
      </w:r>
    </w:p>
    <w:p w:rsidR="00810A8B" w:rsidRPr="00810A8B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ovom aktivnosti podrazumijeva se opskrba s vodom mještana Općine Posedarje koji nemaju pristup redovnoj opskrbi  s vodom s vodovodne mreže već im se voda toči s hidranata u spremnike (gusterne)</w:t>
      </w:r>
      <w:r w:rsidR="009D38D3">
        <w:rPr>
          <w:i w:val="0"/>
        </w:rPr>
        <w:t>.</w:t>
      </w:r>
    </w:p>
    <w:p w:rsidR="009D38D3" w:rsidRDefault="009D38D3" w:rsidP="00810A8B">
      <w:pPr>
        <w:pStyle w:val="NoSpacing"/>
        <w:jc w:val="both"/>
        <w:rPr>
          <w:i w:val="0"/>
        </w:rPr>
      </w:pPr>
      <w:r w:rsidRPr="009D38D3">
        <w:t>Aktivnost A100705 održavanje groblja</w:t>
      </w:r>
      <w:r w:rsidR="00810A8B" w:rsidRPr="00810A8B">
        <w:rPr>
          <w:i w:val="0"/>
        </w:rPr>
        <w:t xml:space="preserve"> planiran</w:t>
      </w:r>
      <w:r>
        <w:rPr>
          <w:i w:val="0"/>
        </w:rPr>
        <w:t xml:space="preserve">a je u iznosu od </w:t>
      </w:r>
      <w:r w:rsidR="00A3547C">
        <w:rPr>
          <w:i w:val="0"/>
        </w:rPr>
        <w:t>110.500,00</w:t>
      </w:r>
      <w:r>
        <w:rPr>
          <w:i w:val="0"/>
        </w:rPr>
        <w:t xml:space="preserve"> e</w:t>
      </w:r>
      <w:r w:rsidR="00A204CE">
        <w:rPr>
          <w:i w:val="0"/>
        </w:rPr>
        <w:t>ura</w:t>
      </w:r>
      <w:r>
        <w:rPr>
          <w:i w:val="0"/>
        </w:rPr>
        <w:t xml:space="preserve"> a izvršena u iznosu od </w:t>
      </w:r>
      <w:r w:rsidR="00A3547C">
        <w:rPr>
          <w:i w:val="0"/>
        </w:rPr>
        <w:t>2.184,56</w:t>
      </w:r>
      <w:r>
        <w:rPr>
          <w:i w:val="0"/>
        </w:rPr>
        <w:t xml:space="preserve"> eura.</w:t>
      </w:r>
    </w:p>
    <w:p w:rsidR="00810A8B" w:rsidRPr="009D38D3" w:rsidRDefault="00810A8B" w:rsidP="00810A8B">
      <w:pPr>
        <w:pStyle w:val="NoSpacing"/>
        <w:jc w:val="both"/>
        <w:rPr>
          <w:i w:val="0"/>
        </w:rPr>
      </w:pPr>
      <w:r w:rsidRPr="00810A8B">
        <w:rPr>
          <w:i w:val="0"/>
        </w:rPr>
        <w:t>Pod održavanjem groblja podrazumijeva se održavanje groblja, uređivanje putova, zelenih i drugih površina unutar groblja</w:t>
      </w:r>
    </w:p>
    <w:p w:rsidR="00810A8B" w:rsidRPr="00810A8B" w:rsidRDefault="009D38D3" w:rsidP="00810A8B">
      <w:pPr>
        <w:pStyle w:val="NoSpacing"/>
        <w:jc w:val="both"/>
        <w:rPr>
          <w:rFonts w:eastAsia="Calibri"/>
          <w:i w:val="0"/>
        </w:rPr>
      </w:pPr>
      <w:r w:rsidRPr="009D38D3">
        <w:rPr>
          <w:rFonts w:eastAsia="Calibri"/>
        </w:rPr>
        <w:t>Aktivnost A100706 održavanje plaža</w:t>
      </w:r>
      <w:r>
        <w:rPr>
          <w:rFonts w:eastAsia="Calibri"/>
          <w:i w:val="0"/>
        </w:rPr>
        <w:t xml:space="preserve"> planirana je u iznosu od </w:t>
      </w:r>
      <w:r w:rsidR="00A3547C">
        <w:rPr>
          <w:rFonts w:eastAsia="Calibri"/>
          <w:i w:val="0"/>
        </w:rPr>
        <w:t>141.000,00</w:t>
      </w:r>
      <w:r>
        <w:rPr>
          <w:rFonts w:eastAsia="Calibri"/>
          <w:i w:val="0"/>
        </w:rPr>
        <w:t xml:space="preserve"> eur</w:t>
      </w:r>
      <w:r w:rsidR="00A204CE">
        <w:rPr>
          <w:rFonts w:eastAsia="Calibri"/>
          <w:i w:val="0"/>
        </w:rPr>
        <w:t>a</w:t>
      </w:r>
      <w:r>
        <w:rPr>
          <w:rFonts w:eastAsia="Calibri"/>
          <w:i w:val="0"/>
        </w:rPr>
        <w:t xml:space="preserve"> a izvršena u iznosu od </w:t>
      </w:r>
      <w:r w:rsidR="00A3547C">
        <w:rPr>
          <w:rFonts w:eastAsia="Calibri"/>
          <w:i w:val="0"/>
        </w:rPr>
        <w:t xml:space="preserve">44.100,00 </w:t>
      </w:r>
      <w:r>
        <w:rPr>
          <w:rFonts w:eastAsia="Calibri"/>
          <w:i w:val="0"/>
        </w:rPr>
        <w:t>eura.</w:t>
      </w:r>
    </w:p>
    <w:p w:rsidR="00810A8B" w:rsidRDefault="00810A8B" w:rsidP="00810A8B">
      <w:pPr>
        <w:pStyle w:val="NoSpacing"/>
        <w:jc w:val="both"/>
        <w:rPr>
          <w:rFonts w:eastAsia="Calibri"/>
          <w:i w:val="0"/>
        </w:rPr>
      </w:pPr>
      <w:r w:rsidRPr="00810A8B">
        <w:rPr>
          <w:rFonts w:eastAsia="Calibri"/>
          <w:i w:val="0"/>
        </w:rPr>
        <w:t>Pod održavanjem plaža podrazumijeva se uređenje na</w:t>
      </w:r>
      <w:r w:rsidR="009D38D3">
        <w:rPr>
          <w:rFonts w:eastAsia="Calibri"/>
          <w:i w:val="0"/>
        </w:rPr>
        <w:t>sipanje, strojno uređenje plaža, usluge najma opreme (plažni WC-a</w:t>
      </w:r>
      <w:r w:rsidR="008F0B18">
        <w:rPr>
          <w:rFonts w:eastAsia="Calibri"/>
          <w:i w:val="0"/>
        </w:rPr>
        <w:t>)</w:t>
      </w:r>
    </w:p>
    <w:p w:rsidR="00A3547C" w:rsidRPr="00A3547C" w:rsidRDefault="00A3547C" w:rsidP="00810A8B">
      <w:pPr>
        <w:pStyle w:val="NoSpacing"/>
        <w:jc w:val="both"/>
        <w:rPr>
          <w:rFonts w:eastAsia="Calibri"/>
        </w:rPr>
      </w:pPr>
      <w:r w:rsidRPr="00A3547C">
        <w:rPr>
          <w:rFonts w:eastAsia="Calibri"/>
        </w:rPr>
        <w:t>Aktivnost: Održavanje vodovodne mreže</w:t>
      </w:r>
    </w:p>
    <w:p w:rsidR="00A3547C" w:rsidRPr="00810A8B" w:rsidRDefault="00A3547C" w:rsidP="00810A8B">
      <w:pPr>
        <w:pStyle w:val="NoSpacing"/>
        <w:jc w:val="both"/>
        <w:rPr>
          <w:rFonts w:eastAsia="Calibri"/>
          <w:i w:val="0"/>
        </w:rPr>
      </w:pPr>
      <w:r>
        <w:rPr>
          <w:rFonts w:eastAsia="Calibri"/>
          <w:i w:val="0"/>
        </w:rPr>
        <w:t>Aktivnost je planirana u iznosu od 150.000,00 eura a izvršena u iznosu od 86.766,24 eura.</w:t>
      </w:r>
    </w:p>
    <w:p w:rsidR="00810A8B" w:rsidRPr="00810A8B" w:rsidRDefault="009B03BB" w:rsidP="009B03B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A100709 ukrašavanje naselja općine povodom blagdana</w:t>
      </w:r>
      <w:r w:rsidR="00810A8B" w:rsidRPr="009B03BB">
        <w:rPr>
          <w:rFonts w:eastAsia="Calibri"/>
        </w:rPr>
        <w:t>ukrašavanje</w:t>
      </w:r>
      <w:r>
        <w:rPr>
          <w:rFonts w:eastAsia="Calibri"/>
          <w:i w:val="0"/>
        </w:rPr>
        <w:t xml:space="preserve"> planirana je u iznosu od </w:t>
      </w:r>
      <w:r w:rsidR="00A3547C">
        <w:rPr>
          <w:rFonts w:eastAsia="Calibri"/>
          <w:i w:val="0"/>
        </w:rPr>
        <w:t>40.000,00</w:t>
      </w:r>
      <w:r>
        <w:rPr>
          <w:rFonts w:eastAsia="Calibri"/>
          <w:i w:val="0"/>
        </w:rPr>
        <w:t xml:space="preserve"> eura a izvršena u iznosu od </w:t>
      </w:r>
      <w:r w:rsidR="00A3547C">
        <w:rPr>
          <w:rFonts w:eastAsia="Calibri"/>
          <w:i w:val="0"/>
        </w:rPr>
        <w:t>43.695,88</w:t>
      </w:r>
      <w:r>
        <w:rPr>
          <w:rFonts w:eastAsia="Calibri"/>
          <w:i w:val="0"/>
        </w:rPr>
        <w:t xml:space="preserve"> eura. Ta aktivnost obuhvaća ukrašavan</w:t>
      </w:r>
      <w:r w:rsidR="00A3547C">
        <w:rPr>
          <w:rFonts w:eastAsia="Calibri"/>
          <w:i w:val="0"/>
        </w:rPr>
        <w:t>je mjesta povodom božićnih i usk</w:t>
      </w:r>
      <w:r>
        <w:rPr>
          <w:rFonts w:eastAsia="Calibri"/>
          <w:i w:val="0"/>
        </w:rPr>
        <w:t>rsnih blagdana te drugih svečanosti koje se obilježavaju.</w:t>
      </w:r>
      <w:r w:rsidR="00810A8B" w:rsidRPr="00810A8B">
        <w:rPr>
          <w:rFonts w:eastAsia="Calibri"/>
          <w:i w:val="0"/>
        </w:rPr>
        <w:t xml:space="preserve"> </w:t>
      </w:r>
    </w:p>
    <w:p w:rsidR="00810A8B" w:rsidRP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>Aktivnost A100710 Investicijsko održavanje puteva-postavljanje asfaltnog sloja</w:t>
      </w:r>
      <w:r>
        <w:rPr>
          <w:rFonts w:eastAsia="Calibri"/>
          <w:i w:val="0"/>
        </w:rPr>
        <w:t xml:space="preserve"> planirana je u iznosu od </w:t>
      </w:r>
      <w:r w:rsidR="00A3547C">
        <w:rPr>
          <w:rFonts w:eastAsia="Calibri"/>
          <w:i w:val="0"/>
        </w:rPr>
        <w:t>141.648,00</w:t>
      </w:r>
      <w:r>
        <w:rPr>
          <w:rFonts w:eastAsia="Calibri"/>
          <w:i w:val="0"/>
        </w:rPr>
        <w:t xml:space="preserve"> eura a izvršena u iznosu od </w:t>
      </w:r>
      <w:r w:rsidR="00A3547C">
        <w:rPr>
          <w:rFonts w:eastAsia="Calibri"/>
          <w:i w:val="0"/>
        </w:rPr>
        <w:t>105.766,06</w:t>
      </w:r>
      <w:r>
        <w:rPr>
          <w:rFonts w:eastAsia="Calibri"/>
          <w:i w:val="0"/>
        </w:rPr>
        <w:t xml:space="preserve"> eura.</w:t>
      </w:r>
      <w:r w:rsidRPr="00810A8B">
        <w:rPr>
          <w:rFonts w:eastAsia="Calibri"/>
          <w:i w:val="0"/>
        </w:rPr>
        <w:t xml:space="preserve"> </w:t>
      </w:r>
    </w:p>
    <w:p w:rsidR="000C09CE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A100711 </w:t>
      </w:r>
      <w:r w:rsidR="00810A8B" w:rsidRPr="009B03BB">
        <w:rPr>
          <w:rFonts w:eastAsia="Calibri"/>
        </w:rPr>
        <w:t>investicijko održavanje postojećeg sustava fekalne odovodnje</w:t>
      </w:r>
      <w:r w:rsidR="00810A8B" w:rsidRPr="00810A8B">
        <w:rPr>
          <w:rFonts w:eastAsia="Calibri"/>
          <w:i w:val="0"/>
        </w:rPr>
        <w:t xml:space="preserve"> </w:t>
      </w:r>
      <w:r>
        <w:rPr>
          <w:rFonts w:eastAsia="Calibri"/>
          <w:i w:val="0"/>
        </w:rPr>
        <w:t xml:space="preserve"> planirana je u iznosu od </w:t>
      </w:r>
      <w:r w:rsidR="00A3547C">
        <w:rPr>
          <w:rFonts w:eastAsia="Calibri"/>
          <w:i w:val="0"/>
        </w:rPr>
        <w:t>15.000,00</w:t>
      </w:r>
      <w:r>
        <w:rPr>
          <w:rFonts w:eastAsia="Calibri"/>
          <w:i w:val="0"/>
        </w:rPr>
        <w:t xml:space="preserve"> eura</w:t>
      </w:r>
      <w:r w:rsidR="00A3547C">
        <w:rPr>
          <w:rFonts w:eastAsia="Calibri"/>
          <w:i w:val="0"/>
        </w:rPr>
        <w:t>. U 2025.godini nije bilo troškova po navedenoj aktivnosti.</w:t>
      </w:r>
      <w:r>
        <w:rPr>
          <w:rFonts w:eastAsia="Calibri"/>
          <w:i w:val="0"/>
        </w:rPr>
        <w:t xml:space="preserve"> </w:t>
      </w:r>
    </w:p>
    <w:p w:rsidR="00810A8B" w:rsidRDefault="009B03BB" w:rsidP="00810A8B">
      <w:pPr>
        <w:pStyle w:val="NoSpacing"/>
        <w:jc w:val="both"/>
        <w:rPr>
          <w:rFonts w:eastAsia="Calibri"/>
          <w:i w:val="0"/>
        </w:rPr>
      </w:pPr>
      <w:r w:rsidRPr="009B03BB">
        <w:rPr>
          <w:rFonts w:eastAsia="Calibri"/>
        </w:rPr>
        <w:t xml:space="preserve">Aktivnost  A100712 </w:t>
      </w:r>
      <w:r w:rsidR="00810A8B" w:rsidRPr="009B03BB">
        <w:rPr>
          <w:rFonts w:eastAsia="Calibri"/>
        </w:rPr>
        <w:t>legalizacija komunalne infrastrukture</w:t>
      </w:r>
      <w:r w:rsidR="00810A8B" w:rsidRPr="00810A8B">
        <w:rPr>
          <w:rFonts w:eastAsia="Calibri"/>
          <w:i w:val="0"/>
        </w:rPr>
        <w:t xml:space="preserve"> </w:t>
      </w:r>
      <w:r w:rsidR="000C09CE">
        <w:rPr>
          <w:rFonts w:eastAsia="Calibri"/>
          <w:i w:val="0"/>
        </w:rPr>
        <w:t>planirana je u iznosu od 31</w:t>
      </w:r>
      <w:r>
        <w:rPr>
          <w:rFonts w:eastAsia="Calibri"/>
          <w:i w:val="0"/>
        </w:rPr>
        <w:t xml:space="preserve">.000,00 eura a izvršena u iznosu od </w:t>
      </w:r>
      <w:r w:rsidR="000C09CE">
        <w:rPr>
          <w:rFonts w:eastAsia="Calibri"/>
          <w:i w:val="0"/>
        </w:rPr>
        <w:t>10.000,00</w:t>
      </w:r>
      <w:r>
        <w:rPr>
          <w:rFonts w:eastAsia="Calibri"/>
          <w:i w:val="0"/>
        </w:rPr>
        <w:t xml:space="preserve"> eura i obuhvaća legalizaciju općinskih objekata.</w:t>
      </w:r>
      <w:r w:rsidRPr="00810A8B">
        <w:rPr>
          <w:rFonts w:eastAsia="Calibri"/>
          <w:i w:val="0"/>
        </w:rPr>
        <w:t xml:space="preserve"> </w:t>
      </w:r>
    </w:p>
    <w:p w:rsidR="009B03BB" w:rsidRPr="000C09CE" w:rsidRDefault="000C09CE" w:rsidP="00810A8B">
      <w:pPr>
        <w:pStyle w:val="NoSpacing"/>
        <w:jc w:val="both"/>
        <w:rPr>
          <w:rFonts w:eastAsia="Calibri"/>
        </w:rPr>
      </w:pPr>
      <w:r w:rsidRPr="000C09CE">
        <w:rPr>
          <w:rFonts w:eastAsia="Calibri"/>
        </w:rPr>
        <w:t xml:space="preserve">Aktivnost A100714 Zacjeljivanje vododerine u psolovnoj zoni </w:t>
      </w:r>
    </w:p>
    <w:p w:rsidR="000C09CE" w:rsidRDefault="000C09CE" w:rsidP="00810A8B">
      <w:pPr>
        <w:pStyle w:val="NoSpacing"/>
        <w:jc w:val="both"/>
        <w:rPr>
          <w:rFonts w:eastAsia="Calibri"/>
          <w:i w:val="0"/>
        </w:rPr>
      </w:pPr>
      <w:r>
        <w:rPr>
          <w:rFonts w:eastAsia="Calibri"/>
          <w:i w:val="0"/>
        </w:rPr>
        <w:t>Navedena aktivnost planirana je u iznosu od 23.000,00 eura. U 2025.godini nije bilo troškova po toj aktivnosti.</w:t>
      </w:r>
    </w:p>
    <w:p w:rsidR="000C09CE" w:rsidRPr="006877CA" w:rsidRDefault="000C09CE" w:rsidP="00810A8B">
      <w:pPr>
        <w:pStyle w:val="NoSpacing"/>
        <w:jc w:val="both"/>
        <w:rPr>
          <w:rFonts w:eastAsia="Calibri"/>
        </w:rPr>
      </w:pPr>
      <w:r w:rsidRPr="006877CA">
        <w:rPr>
          <w:rFonts w:eastAsia="Calibri"/>
        </w:rPr>
        <w:t>Aktivnost A100715 Zajednička služba redarstva</w:t>
      </w:r>
    </w:p>
    <w:p w:rsidR="000C09CE" w:rsidRDefault="000C09CE" w:rsidP="00810A8B">
      <w:pPr>
        <w:pStyle w:val="NoSpacing"/>
        <w:jc w:val="both"/>
        <w:rPr>
          <w:rFonts w:ascii="Arial" w:hAnsi="Arial" w:cs="Arial"/>
          <w:color w:val="545454"/>
          <w:shd w:val="clear" w:color="auto" w:fill="FFFFFF"/>
        </w:rPr>
      </w:pPr>
      <w:r>
        <w:rPr>
          <w:rFonts w:ascii="Calibri" w:hAnsi="Calibri" w:cs="Calibri"/>
          <w:i w:val="0"/>
          <w:color w:val="545454"/>
          <w:shd w:val="clear" w:color="auto" w:fill="FFFFFF"/>
        </w:rPr>
        <w:t>Z</w:t>
      </w:r>
      <w:r w:rsidRPr="000C09CE">
        <w:rPr>
          <w:rFonts w:ascii="Calibri" w:hAnsi="Calibri" w:cs="Calibri"/>
          <w:i w:val="0"/>
          <w:color w:val="545454"/>
          <w:shd w:val="clear" w:color="auto" w:fill="FFFFFF"/>
        </w:rPr>
        <w:t>ajednički upravni odjel za komunalno redarstvo je ustrojen u svrhu zajedničkog organiziranja obavljanja službe komunalnog redarstva, poljoprivrednog redarstva te pomorskog redarstva za područja Općine Posedarje, Općinu Novigrad, Općinu Poličnik, Općinu Ražanac, Općinu Jasenice i Općinu Starigrad. Sjedište Zajedničkog upravnog odjela za komunalno redastvo se nalazi u službenim prostorijama Općine Jasenice na adresi Petra Zoranića 61, Maslenica, 23243 Jasenice</w:t>
      </w:r>
      <w:r>
        <w:rPr>
          <w:rFonts w:ascii="Arial" w:hAnsi="Arial" w:cs="Arial"/>
          <w:color w:val="545454"/>
          <w:shd w:val="clear" w:color="auto" w:fill="FFFFFF"/>
        </w:rPr>
        <w:t>.</w:t>
      </w:r>
    </w:p>
    <w:p w:rsidR="000C09CE" w:rsidRPr="000C09CE" w:rsidRDefault="000C09CE" w:rsidP="00810A8B">
      <w:pPr>
        <w:pStyle w:val="NoSpacing"/>
        <w:jc w:val="both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lastRenderedPageBreak/>
        <w:t>Planirani troškovi za 2025.godinu su u iznosu od 50.000,00 eura dok su izvršeni u iznosu od 52.491,81 eura.</w:t>
      </w:r>
    </w:p>
    <w:p w:rsidR="000C09CE" w:rsidRDefault="000C09CE" w:rsidP="00810A8B">
      <w:pPr>
        <w:pStyle w:val="NoSpacing"/>
        <w:jc w:val="both"/>
        <w:rPr>
          <w:rFonts w:eastAsia="Calibri"/>
          <w:i w:val="0"/>
        </w:rPr>
      </w:pPr>
    </w:p>
    <w:p w:rsidR="000C09CE" w:rsidRDefault="000C09CE" w:rsidP="00810A8B">
      <w:pPr>
        <w:pStyle w:val="NoSpacing"/>
        <w:jc w:val="both"/>
        <w:rPr>
          <w:rFonts w:eastAsia="Calibri"/>
          <w:i w:val="0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977"/>
        <w:gridCol w:w="7085"/>
      </w:tblGrid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komunalnom gospodarstvu (NN 68/18, 110/18, 32/20)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gradnji (NN 153/13, 20/17, 39/19,125/19)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cestama (NN 84/11, 22/13, 54/13, 148/13, 92/14, 110/19)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životinja (NN 102/17, 32/19)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Zakon o zaštiti pučanstva od zaraznih bolesti (NN 79/07, 113/08, 43/09, 130/17, 114/18, 47/20,134/20)</w:t>
            </w:r>
          </w:p>
          <w:p w:rsidR="00A204CE" w:rsidRPr="006C4EAD" w:rsidRDefault="00A204CE" w:rsidP="00A204CE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A204CE" w:rsidRPr="006C4EAD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A100705 Održavanje groblja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C4EAD">
              <w:rPr>
                <w:rFonts w:ascii="Times New Roman" w:hAnsi="Times New Roman" w:cs="Times New Roman"/>
              </w:rPr>
              <w:t>Aktivnost A100706 Održavanje plaža</w:t>
            </w:r>
          </w:p>
          <w:p w:rsidR="000C09CE" w:rsidRDefault="000C09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A100707 Održavanje vodovodne mreže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A100709 Ukrašavanje naselja Općine povodom blagdana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A100710 Investicijsko održavanje puteva-postavljanje asfaltnog sloja</w:t>
            </w:r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7A4A">
              <w:rPr>
                <w:rFonts w:ascii="Times New Roman" w:hAnsi="Times New Roman" w:cs="Times New Roman"/>
              </w:rPr>
              <w:t>Aktivnost A100711</w:t>
            </w:r>
            <w:r w:rsidRPr="000B7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A4A">
              <w:rPr>
                <w:rFonts w:ascii="Times New Roman" w:hAnsi="Times New Roman" w:cs="Times New Roman"/>
              </w:rPr>
              <w:t>Investicijsko održavanje sustava fekalne odvodnje</w:t>
            </w:r>
          </w:p>
          <w:p w:rsidR="00A204CE" w:rsidRPr="000B7A4A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7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A100712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Legalizacija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komunalne</w:t>
            </w:r>
            <w:proofErr w:type="spellEnd"/>
            <w:r w:rsidRPr="000B7A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B7A4A">
              <w:rPr>
                <w:rFonts w:ascii="Times New Roman" w:hAnsi="Times New Roman" w:cs="Times New Roman"/>
                <w:lang w:val="en-US"/>
              </w:rPr>
              <w:t>infrastrukture</w:t>
            </w:r>
            <w:proofErr w:type="spellEnd"/>
          </w:p>
          <w:p w:rsidR="00A204CE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A100713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7A4A">
              <w:rPr>
                <w:rFonts w:ascii="Times New Roman" w:hAnsi="Times New Roman" w:cs="Times New Roman"/>
              </w:rPr>
              <w:t>Investicijkso održavanje središta Posedarja</w:t>
            </w:r>
          </w:p>
          <w:p w:rsidR="00A204CE" w:rsidRPr="000B7A4A" w:rsidRDefault="00A204CE" w:rsidP="00A204CE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A100715 Zajednička služba redarstva</w:t>
            </w:r>
          </w:p>
          <w:p w:rsidR="00A204CE" w:rsidRPr="006C4EAD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prometnica; održavanje funkcionalnosti javne rasvjete i plaćanje troškova energenta; održavanje zelenih površina, šetnica, dječjih igrališta u funkcionalnom stanju; održavanje groblja u funkcionalnom stanju, provođenje veterinarsko-higijeničarskih usluga; sanacija i asfaltiranje nerazvrstanih cesta, održavanje plaža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ukrašavanje mjesta pododom blagdana</w:t>
            </w: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1CA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A204CE" w:rsidRPr="006C4EAD">
              <w:rPr>
                <w:rFonts w:ascii="Times New Roman" w:hAnsi="Times New Roman" w:cs="Times New Roman"/>
              </w:rPr>
              <w:t>202</w:t>
            </w:r>
            <w:r w:rsidR="000C09CE">
              <w:rPr>
                <w:rFonts w:ascii="Times New Roman" w:hAnsi="Times New Roman" w:cs="Times New Roman"/>
              </w:rPr>
              <w:t>5</w:t>
            </w:r>
            <w:r w:rsidR="00A204CE" w:rsidRPr="006C4EAD">
              <w:rPr>
                <w:rFonts w:ascii="Times New Roman" w:hAnsi="Times New Roman" w:cs="Times New Roman"/>
              </w:rPr>
              <w:t xml:space="preserve">. godina = </w:t>
            </w:r>
            <w:r w:rsidR="000C09CE">
              <w:rPr>
                <w:rFonts w:ascii="Times New Roman" w:hAnsi="Times New Roman" w:cs="Times New Roman"/>
              </w:rPr>
              <w:t>1.674.604,00</w:t>
            </w:r>
            <w:r w:rsidR="00A204CE">
              <w:rPr>
                <w:rFonts w:ascii="Times New Roman" w:hAnsi="Times New Roman" w:cs="Times New Roman"/>
              </w:rPr>
              <w:t>€</w:t>
            </w:r>
          </w:p>
          <w:p w:rsidR="00A204CE" w:rsidRPr="006C4EAD" w:rsidRDefault="00A21CAE" w:rsidP="00A204CE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</w:t>
            </w:r>
            <w:r w:rsidR="000C09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.godinu=</w:t>
            </w:r>
            <w:r w:rsidR="000C09CE">
              <w:rPr>
                <w:rFonts w:ascii="Times New Roman" w:hAnsi="Times New Roman" w:cs="Times New Roman"/>
              </w:rPr>
              <w:t>906.617,48</w:t>
            </w:r>
            <w:r w:rsidR="00A204CE">
              <w:rPr>
                <w:rFonts w:ascii="Times New Roman" w:hAnsi="Times New Roman" w:cs="Times New Roman"/>
              </w:rPr>
              <w:t>€</w:t>
            </w:r>
          </w:p>
          <w:p w:rsidR="00A204CE" w:rsidRPr="006C4EAD" w:rsidRDefault="00A204CE" w:rsidP="00A204C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CAE" w:rsidRPr="006C4EAD" w:rsidTr="00A204CE">
        <w:tc>
          <w:tcPr>
            <w:tcW w:w="2093" w:type="dxa"/>
            <w:shd w:val="clear" w:color="auto" w:fill="95B3D7" w:themeFill="accent1" w:themeFillTint="99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204CE" w:rsidRPr="006C4EAD" w:rsidRDefault="00A204CE" w:rsidP="00A20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AD"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:rsidR="00A204CE" w:rsidRDefault="00A204CE" w:rsidP="00A20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BB" w:rsidRPr="00810A8B" w:rsidRDefault="009B03BB" w:rsidP="00810A8B">
      <w:pPr>
        <w:pStyle w:val="NoSpacing"/>
        <w:jc w:val="both"/>
        <w:rPr>
          <w:rFonts w:eastAsia="Calibri"/>
          <w:i w:val="0"/>
        </w:rPr>
      </w:pP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b/>
          <w:i w:val="0"/>
        </w:rPr>
        <w:t>Program 1008 izgradnje komunalne infrastrukture</w:t>
      </w:r>
      <w:r w:rsidRPr="001B261D">
        <w:rPr>
          <w:i w:val="0"/>
        </w:rPr>
        <w:t xml:space="preserve"> planiran je u iznosu od </w:t>
      </w:r>
      <w:r w:rsidR="00EC1582">
        <w:rPr>
          <w:i w:val="0"/>
        </w:rPr>
        <w:t>2.753.861,00</w:t>
      </w:r>
      <w:r>
        <w:rPr>
          <w:i w:val="0"/>
        </w:rPr>
        <w:t xml:space="preserve"> eura a izvršen u iznosu od </w:t>
      </w:r>
      <w:r w:rsidR="00EC1582">
        <w:rPr>
          <w:i w:val="0"/>
        </w:rPr>
        <w:t>1.141.719,43</w:t>
      </w:r>
      <w:r>
        <w:rPr>
          <w:i w:val="0"/>
        </w:rPr>
        <w:t xml:space="preserve"> eura.</w:t>
      </w:r>
      <w:r w:rsidRPr="001B261D">
        <w:rPr>
          <w:i w:val="0"/>
        </w:rPr>
        <w:t xml:space="preserve"> 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rPr>
          <w:i w:val="0"/>
        </w:rPr>
        <w:t>Program obuhvaća slijedeće projekte: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t>Kapitalni projekt K100802 izgradnja vodovoda</w:t>
      </w:r>
      <w:r w:rsidRPr="001B261D">
        <w:rPr>
          <w:i w:val="0"/>
        </w:rPr>
        <w:t xml:space="preserve"> </w:t>
      </w:r>
      <w:r>
        <w:rPr>
          <w:i w:val="0"/>
        </w:rPr>
        <w:t xml:space="preserve">planiran je u iznosu od </w:t>
      </w:r>
      <w:r w:rsidR="00EC1582">
        <w:rPr>
          <w:i w:val="0"/>
        </w:rPr>
        <w:t>220.000,00</w:t>
      </w:r>
      <w:r w:rsidR="00A21CAE">
        <w:rPr>
          <w:i w:val="0"/>
        </w:rPr>
        <w:t xml:space="preserve"> eura</w:t>
      </w:r>
      <w:r>
        <w:rPr>
          <w:i w:val="0"/>
        </w:rPr>
        <w:t xml:space="preserve"> a izvršen u iznosu od </w:t>
      </w:r>
      <w:r w:rsidR="00EC1582">
        <w:rPr>
          <w:i w:val="0"/>
        </w:rPr>
        <w:t>96.902,00</w:t>
      </w:r>
      <w:r>
        <w:rPr>
          <w:i w:val="0"/>
        </w:rPr>
        <w:t xml:space="preserve"> eur</w:t>
      </w:r>
      <w:r w:rsidR="00A21CAE">
        <w:rPr>
          <w:i w:val="0"/>
        </w:rPr>
        <w:t>a</w:t>
      </w:r>
      <w:r>
        <w:rPr>
          <w:i w:val="0"/>
        </w:rPr>
        <w:t>.</w:t>
      </w:r>
    </w:p>
    <w:p w:rsidR="001B261D" w:rsidRPr="001B261D" w:rsidRDefault="001B261D" w:rsidP="003D13CD">
      <w:pPr>
        <w:pStyle w:val="NoSpacing"/>
        <w:jc w:val="both"/>
        <w:rPr>
          <w:i w:val="0"/>
        </w:rPr>
      </w:pPr>
      <w:r w:rsidRPr="001B261D">
        <w:lastRenderedPageBreak/>
        <w:t>Kapitalni projekt K100804 Izgradnja dječjih igrališta</w:t>
      </w:r>
      <w:r w:rsidRPr="001B261D">
        <w:rPr>
          <w:i w:val="0"/>
        </w:rPr>
        <w:t xml:space="preserve"> </w:t>
      </w:r>
      <w:r>
        <w:rPr>
          <w:i w:val="0"/>
        </w:rPr>
        <w:t xml:space="preserve">planiran je u iznosu od </w:t>
      </w:r>
      <w:r w:rsidR="00EC1582">
        <w:rPr>
          <w:i w:val="0"/>
        </w:rPr>
        <w:t>50.000,00</w:t>
      </w:r>
      <w:r>
        <w:rPr>
          <w:i w:val="0"/>
        </w:rPr>
        <w:t xml:space="preserve"> eura a izvršen u iznosu od </w:t>
      </w:r>
      <w:r w:rsidR="00EC1582">
        <w:rPr>
          <w:i w:val="0"/>
        </w:rPr>
        <w:t>47.265,00</w:t>
      </w:r>
      <w:r>
        <w:rPr>
          <w:i w:val="0"/>
        </w:rPr>
        <w:t xml:space="preserve"> eura.</w:t>
      </w:r>
    </w:p>
    <w:p w:rsidR="00A21CAE" w:rsidRDefault="001B261D" w:rsidP="003D13CD">
      <w:pPr>
        <w:pStyle w:val="NoSpacing"/>
        <w:jc w:val="both"/>
        <w:rPr>
          <w:i w:val="0"/>
        </w:rPr>
      </w:pPr>
      <w:r w:rsidRPr="00B10C29">
        <w:t>Kapitalni projekt K100805 rekonstrukcija groblja</w:t>
      </w:r>
      <w:r w:rsidRPr="001B261D">
        <w:rPr>
          <w:i w:val="0"/>
        </w:rPr>
        <w:t xml:space="preserve"> planirana je u iznosu od </w:t>
      </w:r>
      <w:r w:rsidR="00EC1582">
        <w:rPr>
          <w:i w:val="0"/>
        </w:rPr>
        <w:t>568.800,00</w:t>
      </w:r>
      <w:r w:rsidR="00B10C29">
        <w:rPr>
          <w:i w:val="0"/>
        </w:rPr>
        <w:t xml:space="preserve"> eura a izvršen je u iznosu od </w:t>
      </w:r>
      <w:r w:rsidR="00EC1582">
        <w:rPr>
          <w:i w:val="0"/>
        </w:rPr>
        <w:t>564.701,78</w:t>
      </w:r>
      <w:r w:rsidR="00B10C29">
        <w:rPr>
          <w:i w:val="0"/>
        </w:rPr>
        <w:t xml:space="preserve"> eura a odnosi se </w:t>
      </w:r>
      <w:r w:rsidR="00A21CAE">
        <w:rPr>
          <w:i w:val="0"/>
        </w:rPr>
        <w:t xml:space="preserve"> nastavak gradnje zgrade za ispraća</w:t>
      </w:r>
      <w:r w:rsidR="00EC1582">
        <w:rPr>
          <w:i w:val="0"/>
        </w:rPr>
        <w:t>j u mjesnom groblju u Posedarju i uređenje okoliša u istom groblju.</w:t>
      </w:r>
    </w:p>
    <w:p w:rsidR="00B10C29" w:rsidRDefault="00A21CAE" w:rsidP="003D13CD">
      <w:pPr>
        <w:pStyle w:val="NoSpacing"/>
        <w:jc w:val="both"/>
        <w:rPr>
          <w:i w:val="0"/>
        </w:rPr>
      </w:pPr>
      <w:r w:rsidRPr="00B10C29">
        <w:t xml:space="preserve"> </w:t>
      </w:r>
      <w:r w:rsidR="00B10C29" w:rsidRPr="00B10C29">
        <w:t>Kapitalni projekt K100806 Izrada urbanističkih planova i projektne dokumentacije</w:t>
      </w:r>
      <w:r w:rsidR="00B10C29">
        <w:rPr>
          <w:i w:val="0"/>
        </w:rPr>
        <w:t xml:space="preserve"> planiran je u iznosu od </w:t>
      </w:r>
      <w:r w:rsidR="00EC1582">
        <w:rPr>
          <w:i w:val="0"/>
        </w:rPr>
        <w:t>543.811,00</w:t>
      </w:r>
      <w:r w:rsidR="00B10C29">
        <w:rPr>
          <w:i w:val="0"/>
        </w:rPr>
        <w:t xml:space="preserve"> eur</w:t>
      </w:r>
      <w:r>
        <w:rPr>
          <w:i w:val="0"/>
        </w:rPr>
        <w:t>a</w:t>
      </w:r>
      <w:r w:rsidR="00B10C29">
        <w:rPr>
          <w:i w:val="0"/>
        </w:rPr>
        <w:t xml:space="preserve"> a izvršen je u iznosu od </w:t>
      </w:r>
      <w:r w:rsidR="00EC1582">
        <w:rPr>
          <w:i w:val="0"/>
        </w:rPr>
        <w:t>228.263,77</w:t>
      </w:r>
      <w:r w:rsidR="00B10C29">
        <w:rPr>
          <w:i w:val="0"/>
        </w:rPr>
        <w:t xml:space="preserve"> eura. Projekti koji su izvršeni u 202</w:t>
      </w:r>
      <w:r w:rsidR="00EC1582">
        <w:rPr>
          <w:i w:val="0"/>
        </w:rPr>
        <w:t>5</w:t>
      </w:r>
      <w:r w:rsidR="00B10C29">
        <w:rPr>
          <w:i w:val="0"/>
        </w:rPr>
        <w:t>.g. su:</w:t>
      </w:r>
      <w:r w:rsidR="00CB6347">
        <w:rPr>
          <w:i w:val="0"/>
        </w:rPr>
        <w:t xml:space="preserve"> projektna dokumenzacija za nogostup Zeleni hrast-Grgurice, projektna dokumentacija za proširenje groblja u Slivnici, projektna dokumentacijam za izmjene i dopune prostornog plana, projektna dokumentacija za istočni vodovodni pravac, izvedbeni projekt komunalne infrastrukture u Čelinci, projektna dokumentacija za nogostup L6020-Podgradina, projektna dokumentacija za svlačionice u Posedarju, projktna dokumentacija za uređenje trga Martina Posedarskog u Posedarju, UPU obalnog pojasa naselja Posedarje, projekt rasvjete nogometnog igrališta u Posedarju, akcijski plan rasvjete Općine Posedarje, projket sanacije luke u Ždrilu, projektna dokumetacija za spomenik u Podgradini.</w:t>
      </w:r>
    </w:p>
    <w:p w:rsidR="007E1E90" w:rsidRDefault="007E1E90" w:rsidP="007E1E90">
      <w:pPr>
        <w:pStyle w:val="NoSpacing"/>
        <w:jc w:val="both"/>
        <w:rPr>
          <w:i w:val="0"/>
        </w:rPr>
      </w:pPr>
      <w:r w:rsidRPr="007E1E90">
        <w:t>Kapitalni projekt K100807 izgradnja prometnica</w:t>
      </w:r>
      <w:r>
        <w:rPr>
          <w:i w:val="0"/>
        </w:rPr>
        <w:t xml:space="preserve"> realiziran je u iznosu od </w:t>
      </w:r>
      <w:r w:rsidR="007542D9">
        <w:rPr>
          <w:i w:val="0"/>
        </w:rPr>
        <w:t>8.875,00 a odnosi se na geodetske usluge.</w:t>
      </w:r>
    </w:p>
    <w:p w:rsidR="007542D9" w:rsidRDefault="007542D9" w:rsidP="007E1E90">
      <w:pPr>
        <w:pStyle w:val="NoSpacing"/>
        <w:jc w:val="both"/>
        <w:rPr>
          <w:i w:val="0"/>
        </w:rPr>
      </w:pPr>
      <w:r w:rsidRPr="007542D9">
        <w:t>Kapitalni projekt K100811 Izgradnja autobusnih stajališta</w:t>
      </w:r>
      <w:r>
        <w:t xml:space="preserve"> </w:t>
      </w:r>
      <w:r>
        <w:rPr>
          <w:i w:val="0"/>
        </w:rPr>
        <w:t>realiziran je u iznosu od 3.926,25 eura.</w:t>
      </w:r>
    </w:p>
    <w:p w:rsidR="007542D9" w:rsidRPr="007542D9" w:rsidRDefault="007542D9" w:rsidP="007E1E90">
      <w:pPr>
        <w:pStyle w:val="NoSpacing"/>
        <w:jc w:val="both"/>
        <w:rPr>
          <w:i w:val="0"/>
        </w:rPr>
      </w:pPr>
      <w:r w:rsidRPr="007542D9">
        <w:t>Kapitalni projekt K100814 Izgradnja Poslovne zone Posedarje/Slivnica</w:t>
      </w:r>
      <w:r>
        <w:t xml:space="preserve"> </w:t>
      </w:r>
      <w:r>
        <w:rPr>
          <w:i w:val="0"/>
        </w:rPr>
        <w:t>izvršen je u iznosu od 120,321,88 eura. Troškovi se odnose na završetak realizacije opskrbe s električnom energijom dijela gdije se nalazi društvo Colas Varaždin.</w:t>
      </w:r>
      <w:r w:rsidR="006A070E">
        <w:rPr>
          <w:i w:val="0"/>
        </w:rPr>
        <w:t xml:space="preserve"> Rashodi od 85.823,50 koji su prikazani kao ulaganje u izgradnju novih prmetnica  greškom su prikazani u projekt izgradnje poslovne zone a trebali su biti prikazani kroz održavanje puteva jer još nije ishodovana građevinska dozvola.</w:t>
      </w:r>
    </w:p>
    <w:p w:rsidR="007E1E90" w:rsidRDefault="007E1E90" w:rsidP="007E1E90">
      <w:pPr>
        <w:pStyle w:val="NoSpacing"/>
        <w:jc w:val="both"/>
        <w:rPr>
          <w:i w:val="0"/>
        </w:rPr>
      </w:pPr>
      <w:r w:rsidRPr="007E1E90">
        <w:t>Kapitalni projekt K100815 izgradnja vanjske rasvjete</w:t>
      </w:r>
      <w:r>
        <w:rPr>
          <w:i w:val="0"/>
        </w:rPr>
        <w:t xml:space="preserve"> planiran je u iznosu od </w:t>
      </w:r>
      <w:r w:rsidR="006A070E">
        <w:rPr>
          <w:i w:val="0"/>
        </w:rPr>
        <w:t>91.250,00</w:t>
      </w:r>
      <w:r>
        <w:rPr>
          <w:i w:val="0"/>
        </w:rPr>
        <w:t xml:space="preserve"> eura a izvršen u iznosu od </w:t>
      </w:r>
      <w:r w:rsidR="006A070E">
        <w:rPr>
          <w:i w:val="0"/>
        </w:rPr>
        <w:t>58.862,50</w:t>
      </w:r>
      <w:r>
        <w:rPr>
          <w:i w:val="0"/>
        </w:rPr>
        <w:t xml:space="preserve"> eura a odnosi se na projekte proširenja sustava javne rasvjete.</w:t>
      </w:r>
    </w:p>
    <w:p w:rsidR="006A070E" w:rsidRDefault="006A070E" w:rsidP="007E1E90">
      <w:pPr>
        <w:pStyle w:val="NoSpacing"/>
        <w:jc w:val="both"/>
        <w:rPr>
          <w:i w:val="0"/>
        </w:rPr>
      </w:pPr>
      <w:r w:rsidRPr="006A070E">
        <w:t>Kapitalni projekt K100818 nabava opreme</w:t>
      </w:r>
      <w:r>
        <w:rPr>
          <w:i w:val="0"/>
        </w:rPr>
        <w:t xml:space="preserve"> izvršen je u iznosu od 12.601,25 eura a odnosi se na kupnju klupa koje su postavljene na javnim površinama.</w:t>
      </w:r>
    </w:p>
    <w:p w:rsidR="007E1E90" w:rsidRDefault="007E1E90" w:rsidP="007E1E90">
      <w:pPr>
        <w:pStyle w:val="NoSpacing"/>
        <w:jc w:val="both"/>
        <w:rPr>
          <w:i w:val="0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984"/>
        <w:gridCol w:w="7078"/>
      </w:tblGrid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komunalnom gospodarstvu (NN 68/18, 110/18, 32/20)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jednostavnim i drugim građevinama i radovima (NN 112/17)</w:t>
            </w:r>
          </w:p>
          <w:p w:rsidR="007E1E90" w:rsidRPr="00DD7AAF" w:rsidRDefault="007E1E90" w:rsidP="007E1E90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7E1E90" w:rsidRPr="00DD7AAF" w:rsidRDefault="007E1E90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7E1E90" w:rsidRPr="00DD7AAF" w:rsidRDefault="007E1E90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7E1E90" w:rsidRPr="00DD7AAF" w:rsidRDefault="007E1E90" w:rsidP="00697C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K100806 Izrada urbanističkih planova i projektne dokumentacije</w:t>
            </w:r>
          </w:p>
          <w:p w:rsidR="007E1E90" w:rsidRDefault="007E1E90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697C7B" w:rsidRPr="00DD7AAF" w:rsidRDefault="00697C7B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7E1E90" w:rsidRPr="00697C7B" w:rsidRDefault="00697C7B" w:rsidP="00697C7B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Kapitaln projekt  K100814 </w:t>
            </w:r>
            <w:r w:rsidRPr="00DD7AAF">
              <w:rPr>
                <w:rFonts w:ascii="Times New Roman" w:hAnsi="Times New Roman" w:cs="Times New Roman"/>
              </w:rPr>
              <w:t>Izgradnja Poslovne zone Posedarje/Slivnica</w:t>
            </w:r>
          </w:p>
          <w:p w:rsidR="007E1E90" w:rsidRDefault="007E1E90" w:rsidP="00697C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K100815 Izgradnja vanjske rasvjete</w:t>
            </w:r>
          </w:p>
          <w:p w:rsidR="00697C7B" w:rsidRPr="00DD7AAF" w:rsidRDefault="00697C7B" w:rsidP="00697C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K100818 Nabava opreme</w:t>
            </w:r>
          </w:p>
          <w:p w:rsidR="007E1E90" w:rsidRDefault="007E1E90" w:rsidP="00697C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 xml:space="preserve">Kapitalni projekt K100822 </w:t>
            </w:r>
            <w:r>
              <w:rPr>
                <w:rFonts w:ascii="Times New Roman" w:hAnsi="Times New Roman" w:cs="Times New Roman"/>
              </w:rPr>
              <w:t>Izgradnja komunalne infrastrukture u Čelinci.</w:t>
            </w:r>
          </w:p>
          <w:p w:rsidR="007E1E90" w:rsidRDefault="007E1E90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lastRenderedPageBreak/>
              <w:t xml:space="preserve">Kapitalni projekt K100823 Izgradnja kružnog toka na raskrižju Sveti Duh/Podgradina  </w:t>
            </w:r>
          </w:p>
          <w:p w:rsidR="00697C7B" w:rsidRDefault="00697C7B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K100825 Izgradnja mosta na Baštici i ormitološka šetnica</w:t>
            </w:r>
          </w:p>
          <w:p w:rsidR="00697C7B" w:rsidRDefault="00697C7B" w:rsidP="007E1E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K100827 Izgradnja lučice u Posedaju</w:t>
            </w:r>
          </w:p>
          <w:p w:rsidR="007E1E90" w:rsidRPr="00DD7AAF" w:rsidRDefault="007E1E90" w:rsidP="00A5269E">
            <w:pPr>
              <w:ind w:left="720"/>
              <w:rPr>
                <w:rFonts w:ascii="Times New Roman" w:hAnsi="Times New Roman" w:cs="Times New Roman"/>
              </w:rPr>
            </w:pPr>
          </w:p>
          <w:p w:rsidR="007E1E90" w:rsidRPr="00DD7AAF" w:rsidRDefault="007E1E90" w:rsidP="00A5269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A5269E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sz w:val="24"/>
                <w:szCs w:val="24"/>
              </w:rPr>
              <w:t>Procjenjuje se da će projekti biti realizirani sukladno smjernicama i programskim aktivnostima.</w:t>
            </w:r>
          </w:p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7E1E90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697C7B">
              <w:rPr>
                <w:rFonts w:ascii="Times New Roman" w:hAnsi="Times New Roman" w:cs="Times New Roman"/>
              </w:rPr>
              <w:t>5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 w:rsidR="00697C7B">
              <w:rPr>
                <w:rFonts w:ascii="Times New Roman" w:hAnsi="Times New Roman" w:cs="Times New Roman"/>
              </w:rPr>
              <w:t>2.753.861,00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7E1E90" w:rsidRPr="00DD7AAF" w:rsidRDefault="007E1E90" w:rsidP="007E1E90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</w:t>
            </w:r>
            <w:r w:rsidR="00697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godine=</w:t>
            </w:r>
            <w:r w:rsidR="00697C7B">
              <w:rPr>
                <w:rFonts w:ascii="Times New Roman" w:hAnsi="Times New Roman" w:cs="Times New Roman"/>
              </w:rPr>
              <w:t>1.141.719,43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7E1E90" w:rsidRPr="00DD7AAF" w:rsidRDefault="007E1E90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E90" w:rsidRPr="00DD7AAF" w:rsidTr="00A5269E">
        <w:tc>
          <w:tcPr>
            <w:tcW w:w="2093" w:type="dxa"/>
            <w:shd w:val="clear" w:color="auto" w:fill="95B3D7" w:themeFill="accent1" w:themeFillTint="99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7E1E90" w:rsidRPr="00DD7AAF" w:rsidRDefault="007E1E90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p w:rsidR="007E1E90" w:rsidRPr="007E1E90" w:rsidRDefault="007E1E90" w:rsidP="007E1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F23" w:rsidRPr="00341F23" w:rsidRDefault="00341F23" w:rsidP="00341F23">
      <w:pPr>
        <w:spacing w:after="0"/>
        <w:jc w:val="both"/>
        <w:rPr>
          <w:rFonts w:cstheme="minorHAnsi"/>
        </w:rPr>
      </w:pPr>
      <w:r w:rsidRPr="00341F23">
        <w:rPr>
          <w:rFonts w:cstheme="minorHAnsi"/>
          <w:b/>
        </w:rPr>
        <w:t xml:space="preserve">Program 1009 Promicanje kulture </w:t>
      </w:r>
      <w:r w:rsidRPr="00341F23">
        <w:rPr>
          <w:rFonts w:cstheme="minorHAnsi"/>
        </w:rPr>
        <w:t xml:space="preserve">planiran je u iznosu od </w:t>
      </w:r>
      <w:r w:rsidR="00697C7B">
        <w:rPr>
          <w:rFonts w:cstheme="minorHAnsi"/>
        </w:rPr>
        <w:t>72.719,00</w:t>
      </w:r>
      <w:r w:rsidR="007E1E90">
        <w:rPr>
          <w:rFonts w:cstheme="minorHAnsi"/>
        </w:rPr>
        <w:t xml:space="preserve"> eura a izvršen je u iznosu od </w:t>
      </w:r>
      <w:r w:rsidR="00697C7B">
        <w:rPr>
          <w:rFonts w:cstheme="minorHAnsi"/>
        </w:rPr>
        <w:t>31.427,23</w:t>
      </w:r>
      <w:r w:rsidR="007E1E90">
        <w:rPr>
          <w:rFonts w:cstheme="minorHAnsi"/>
        </w:rPr>
        <w:t xml:space="preserve"> eura.</w:t>
      </w:r>
    </w:p>
    <w:p w:rsidR="00341F23" w:rsidRDefault="00341F23" w:rsidP="00341F23">
      <w:pPr>
        <w:pStyle w:val="NoSpacing"/>
        <w:jc w:val="both"/>
        <w:rPr>
          <w:rFonts w:cstheme="minorHAnsi"/>
          <w:i w:val="0"/>
        </w:rPr>
      </w:pPr>
      <w:r w:rsidRPr="00341F23">
        <w:rPr>
          <w:rFonts w:cstheme="minorHAnsi"/>
        </w:rPr>
        <w:t xml:space="preserve">Aktivnost A100901 kulturne manifestacije </w:t>
      </w:r>
      <w:r w:rsidRPr="00341F23">
        <w:rPr>
          <w:rFonts w:cstheme="minorHAnsi"/>
          <w:i w:val="0"/>
        </w:rPr>
        <w:t xml:space="preserve">planirana u iznosu od </w:t>
      </w:r>
      <w:r w:rsidR="007E1E90">
        <w:rPr>
          <w:rFonts w:cstheme="minorHAnsi"/>
          <w:i w:val="0"/>
        </w:rPr>
        <w:t xml:space="preserve">15.665,00 eura a izvršena je u iznosu od </w:t>
      </w:r>
      <w:r w:rsidR="00AB631A">
        <w:rPr>
          <w:rFonts w:cstheme="minorHAnsi"/>
          <w:i w:val="0"/>
        </w:rPr>
        <w:t>8.527,23</w:t>
      </w:r>
      <w:r w:rsidR="007E1E90">
        <w:rPr>
          <w:rFonts w:cstheme="minorHAnsi"/>
          <w:i w:val="0"/>
        </w:rPr>
        <w:t xml:space="preserve"> eura.</w:t>
      </w:r>
      <w:r w:rsidRPr="00341F23">
        <w:rPr>
          <w:rFonts w:cstheme="minorHAnsi"/>
          <w:i w:val="0"/>
        </w:rPr>
        <w:t xml:space="preserve"> Troškovi vezani za ovu aktivnost odnose se na sufinanciranje bibliobusa</w:t>
      </w:r>
      <w:r w:rsidR="007E1E90">
        <w:rPr>
          <w:rFonts w:cstheme="minorHAnsi"/>
          <w:i w:val="0"/>
        </w:rPr>
        <w:t>,</w:t>
      </w:r>
      <w:r w:rsidRPr="00341F23">
        <w:rPr>
          <w:rFonts w:cstheme="minorHAnsi"/>
          <w:i w:val="0"/>
        </w:rPr>
        <w:t xml:space="preserve"> tekuće donacije udrugama </w:t>
      </w:r>
      <w:r w:rsidR="00C029D3">
        <w:rPr>
          <w:rFonts w:cstheme="minorHAnsi"/>
          <w:i w:val="0"/>
        </w:rPr>
        <w:t xml:space="preserve"> koje su dodijljene udrugama </w:t>
      </w:r>
      <w:r w:rsidRPr="00341F23">
        <w:rPr>
          <w:rFonts w:cstheme="minorHAnsi"/>
          <w:i w:val="0"/>
        </w:rPr>
        <w:t xml:space="preserve"> temeljem javnog natječaja</w:t>
      </w:r>
      <w:r w:rsidR="00C029D3">
        <w:rPr>
          <w:rFonts w:cstheme="minorHAnsi"/>
          <w:i w:val="0"/>
        </w:rPr>
        <w:t>.</w:t>
      </w:r>
      <w:r w:rsidRPr="00341F23">
        <w:rPr>
          <w:rFonts w:cstheme="minorHAnsi"/>
          <w:i w:val="0"/>
        </w:rPr>
        <w:t xml:space="preserve"> 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  <w:r w:rsidRPr="00BD70D4">
        <w:rPr>
          <w:rFonts w:cstheme="minorHAnsi"/>
        </w:rPr>
        <w:t>Aktivnost A100903 Religija</w:t>
      </w:r>
      <w:r>
        <w:rPr>
          <w:rFonts w:cstheme="minorHAnsi"/>
        </w:rPr>
        <w:t xml:space="preserve"> </w:t>
      </w:r>
      <w:r w:rsidRPr="00BD70D4">
        <w:rPr>
          <w:rFonts w:cstheme="minorHAnsi"/>
          <w:i w:val="0"/>
        </w:rPr>
        <w:t>plan</w:t>
      </w:r>
      <w:r>
        <w:rPr>
          <w:rFonts w:cstheme="minorHAnsi"/>
          <w:i w:val="0"/>
        </w:rPr>
        <w:t xml:space="preserve">irana je u iznosu od </w:t>
      </w:r>
      <w:r w:rsidR="00AB631A">
        <w:rPr>
          <w:rFonts w:cstheme="minorHAnsi"/>
          <w:i w:val="0"/>
        </w:rPr>
        <w:t>7.054,00</w:t>
      </w:r>
      <w:r>
        <w:rPr>
          <w:rFonts w:cstheme="minorHAnsi"/>
          <w:i w:val="0"/>
        </w:rPr>
        <w:t xml:space="preserve"> eura a izvršena je u iznosu od</w:t>
      </w:r>
      <w:r w:rsidR="00AB631A">
        <w:rPr>
          <w:rFonts w:cstheme="minorHAnsi"/>
          <w:i w:val="0"/>
        </w:rPr>
        <w:t xml:space="preserve"> 7.</w:t>
      </w:r>
      <w:r>
        <w:rPr>
          <w:rFonts w:cstheme="minorHAnsi"/>
          <w:i w:val="0"/>
        </w:rPr>
        <w:t>400,00 eura a odnosi se na pomoć župnom uredu.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  <w:r w:rsidRPr="00BD70D4">
        <w:rPr>
          <w:rFonts w:cstheme="minorHAnsi"/>
        </w:rPr>
        <w:t>Aktivnost A100905 Provedba programa udruga u kulturi</w:t>
      </w:r>
      <w:r>
        <w:rPr>
          <w:rFonts w:cstheme="minorHAnsi"/>
          <w:i w:val="0"/>
        </w:rPr>
        <w:t xml:space="preserve"> planirana je u iznosu od </w:t>
      </w:r>
      <w:r w:rsidR="00AB631A">
        <w:rPr>
          <w:rFonts w:cstheme="minorHAnsi"/>
          <w:i w:val="0"/>
        </w:rPr>
        <w:t>5</w:t>
      </w:r>
      <w:r>
        <w:rPr>
          <w:rFonts w:cstheme="minorHAnsi"/>
          <w:i w:val="0"/>
        </w:rPr>
        <w:t>0.000,00 te je i izvršena u iznosu od 1</w:t>
      </w:r>
      <w:r w:rsidR="00AB631A">
        <w:rPr>
          <w:rFonts w:cstheme="minorHAnsi"/>
          <w:i w:val="0"/>
        </w:rPr>
        <w:t>5</w:t>
      </w:r>
      <w:r>
        <w:rPr>
          <w:rFonts w:cstheme="minorHAnsi"/>
          <w:i w:val="0"/>
        </w:rPr>
        <w:t>.000,00 eura. Sredstva su isplaćena udugrama s područja kulture.</w:t>
      </w:r>
    </w:p>
    <w:p w:rsidR="00BD70D4" w:rsidRDefault="00BD70D4" w:rsidP="00341F23">
      <w:pPr>
        <w:pStyle w:val="NoSpacing"/>
        <w:jc w:val="both"/>
        <w:rPr>
          <w:rFonts w:cstheme="minorHAnsi"/>
          <w:i w:val="0"/>
        </w:rPr>
      </w:pP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982"/>
        <w:gridCol w:w="7080"/>
      </w:tblGrid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 04/18)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A100901Kulturne manifestacije</w:t>
            </w:r>
          </w:p>
          <w:p w:rsidR="00BD70D4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A100903 Religija</w:t>
            </w:r>
          </w:p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A100905 Provedba programa udruga u kulturi</w:t>
            </w:r>
          </w:p>
          <w:p w:rsidR="00BD70D4" w:rsidRPr="00DD7AAF" w:rsidRDefault="00BD70D4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Sufinanciranje djelovanje udruga koje u </w:t>
            </w: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 w:rsidR="00AB631A">
              <w:rPr>
                <w:rFonts w:ascii="Times New Roman" w:hAnsi="Times New Roman" w:cs="Times New Roman"/>
              </w:rPr>
              <w:t>5</w:t>
            </w:r>
            <w:r w:rsidRPr="00DD7AAF">
              <w:rPr>
                <w:rFonts w:ascii="Times New Roman" w:hAnsi="Times New Roman" w:cs="Times New Roman"/>
              </w:rPr>
              <w:t xml:space="preserve">. godina = </w:t>
            </w:r>
            <w:r w:rsidR="00AB631A">
              <w:rPr>
                <w:rFonts w:ascii="Times New Roman" w:hAnsi="Times New Roman" w:cs="Times New Roman"/>
              </w:rPr>
              <w:t>72.719,00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AB631A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</w:t>
            </w:r>
            <w:r w:rsidR="00AB63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.godine=</w:t>
            </w:r>
            <w:r w:rsidR="00AB631A">
              <w:rPr>
                <w:rFonts w:ascii="Times New Roman" w:hAnsi="Times New Roman" w:cs="Times New Roman"/>
              </w:rPr>
              <w:t>31.427,23</w:t>
            </w:r>
            <w:r>
              <w:rPr>
                <w:rFonts w:ascii="Times New Roman" w:hAnsi="Times New Roman" w:cs="Times New Roman"/>
              </w:rPr>
              <w:t xml:space="preserve"> €</w:t>
            </w: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70D4" w:rsidRPr="00DD7AAF" w:rsidTr="00A5269E">
        <w:trPr>
          <w:trHeight w:val="678"/>
        </w:trPr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području Općine i posjetitelja istih; Povećan broj aktivnih članova udruga, posebice djece i mladih: Veća zaštita tradicije i baštine, Broj organiziranih nastupa.</w:t>
            </w:r>
          </w:p>
        </w:tc>
      </w:tr>
    </w:tbl>
    <w:p w:rsidR="00BD70D4" w:rsidRPr="00BD70D4" w:rsidRDefault="00BD70D4" w:rsidP="00341F23">
      <w:pPr>
        <w:pStyle w:val="NoSpacing"/>
        <w:jc w:val="both"/>
        <w:rPr>
          <w:rFonts w:cstheme="minorHAnsi"/>
          <w:i w:val="0"/>
        </w:rPr>
      </w:pPr>
    </w:p>
    <w:p w:rsidR="00341F23" w:rsidRDefault="00341F23" w:rsidP="00341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Program 1010 razvoj sporta i rekreacije</w:t>
      </w:r>
      <w:r w:rsidRPr="00C029D3">
        <w:rPr>
          <w:rFonts w:cstheme="minorHAnsi"/>
        </w:rPr>
        <w:t xml:space="preserve"> planiran je u iznosu od </w:t>
      </w:r>
      <w:r w:rsidR="00AB631A">
        <w:rPr>
          <w:rFonts w:cstheme="minorHAnsi"/>
        </w:rPr>
        <w:t>463.304,00</w:t>
      </w:r>
      <w:r w:rsidR="00BD70D4">
        <w:rPr>
          <w:rFonts w:cstheme="minorHAnsi"/>
        </w:rPr>
        <w:t xml:space="preserve"> eura a izvršen je u iznosu od </w:t>
      </w:r>
      <w:r w:rsidR="00AB631A">
        <w:rPr>
          <w:rFonts w:cstheme="minorHAnsi"/>
        </w:rPr>
        <w:t>223.961,89</w:t>
      </w:r>
      <w:r w:rsidR="00BD70D4">
        <w:rPr>
          <w:rFonts w:cstheme="minorHAnsi"/>
        </w:rPr>
        <w:t xml:space="preserve"> eura. te obuhvaća slijedeće projekte i aktivnosti:</w:t>
      </w:r>
    </w:p>
    <w:p w:rsidR="00C029D3" w:rsidRPr="00C029D3" w:rsidRDefault="00C029D3" w:rsidP="00C029D3">
      <w:pPr>
        <w:pStyle w:val="NoSpacing"/>
        <w:jc w:val="both"/>
        <w:rPr>
          <w:rFonts w:cstheme="minorHAnsi"/>
          <w:i w:val="0"/>
        </w:rPr>
      </w:pPr>
      <w:r w:rsidRPr="00C029D3">
        <w:rPr>
          <w:rFonts w:cstheme="minorHAnsi"/>
        </w:rPr>
        <w:t xml:space="preserve">Aktivnost A101001 Financiranje sportskih udruga </w:t>
      </w:r>
      <w:r w:rsidRPr="00C029D3">
        <w:rPr>
          <w:rFonts w:cstheme="minorHAnsi"/>
          <w:i w:val="0"/>
        </w:rPr>
        <w:t>planiran</w:t>
      </w:r>
      <w:r>
        <w:rPr>
          <w:rFonts w:cstheme="minorHAnsi"/>
          <w:i w:val="0"/>
        </w:rPr>
        <w:t>a</w:t>
      </w:r>
      <w:r w:rsidRPr="00C029D3">
        <w:rPr>
          <w:rFonts w:cstheme="minorHAnsi"/>
          <w:i w:val="0"/>
        </w:rPr>
        <w:t xml:space="preserve"> je u iznosu od </w:t>
      </w:r>
      <w:r w:rsidR="00AB631A">
        <w:rPr>
          <w:rFonts w:cstheme="minorHAnsi"/>
          <w:i w:val="0"/>
        </w:rPr>
        <w:t>180.664,00</w:t>
      </w:r>
      <w:r w:rsidR="00BD70D4">
        <w:rPr>
          <w:rFonts w:cstheme="minorHAnsi"/>
          <w:i w:val="0"/>
        </w:rPr>
        <w:t xml:space="preserve"> eura a izvršen u iznosu od </w:t>
      </w:r>
      <w:r w:rsidR="00AB631A">
        <w:rPr>
          <w:rFonts w:cstheme="minorHAnsi"/>
          <w:i w:val="0"/>
        </w:rPr>
        <w:t>212.638,14</w:t>
      </w:r>
      <w:r w:rsidR="00BD70D4">
        <w:rPr>
          <w:rFonts w:cstheme="minorHAnsi"/>
          <w:i w:val="0"/>
        </w:rPr>
        <w:t xml:space="preserve"> eura</w:t>
      </w:r>
      <w:r>
        <w:rPr>
          <w:rFonts w:cstheme="minorHAnsi"/>
          <w:i w:val="0"/>
        </w:rPr>
        <w:t>. Aktivnost se odnosi na pomoći sportskim udrgama na temelju javnog natječaja udugama u sportu.</w:t>
      </w:r>
      <w:r w:rsidRPr="00C029D3">
        <w:rPr>
          <w:rFonts w:cstheme="minorHAnsi"/>
          <w:i w:val="0"/>
        </w:rPr>
        <w:t xml:space="preserve"> </w:t>
      </w:r>
    </w:p>
    <w:p w:rsidR="00C029D3" w:rsidRDefault="00C029D3" w:rsidP="00C029D3">
      <w:pPr>
        <w:spacing w:after="0"/>
        <w:jc w:val="both"/>
        <w:rPr>
          <w:rFonts w:cstheme="minorHAnsi"/>
        </w:rPr>
      </w:pPr>
      <w:r w:rsidRPr="00C029D3">
        <w:rPr>
          <w:rFonts w:cstheme="minorHAnsi"/>
          <w:b/>
        </w:rPr>
        <w:t>Kapitalni projekt K101002</w:t>
      </w:r>
      <w:r>
        <w:rPr>
          <w:rFonts w:cstheme="minorHAnsi"/>
          <w:b/>
        </w:rPr>
        <w:t xml:space="preserve"> </w:t>
      </w:r>
      <w:r w:rsidRPr="00C029D3">
        <w:rPr>
          <w:rFonts w:cstheme="minorHAnsi"/>
        </w:rPr>
        <w:t xml:space="preserve"> Izgradnja sportskih objekata planiran je u iznosu od </w:t>
      </w:r>
      <w:r w:rsidR="00AB631A">
        <w:rPr>
          <w:rFonts w:cstheme="minorHAnsi"/>
        </w:rPr>
        <w:t>282.640,00</w:t>
      </w:r>
      <w:r>
        <w:rPr>
          <w:rFonts w:cstheme="minorHAnsi"/>
        </w:rPr>
        <w:t xml:space="preserve"> eura a izvršen je u iznosu od </w:t>
      </w:r>
      <w:r w:rsidR="00AB631A">
        <w:rPr>
          <w:rFonts w:cstheme="minorHAnsi"/>
        </w:rPr>
        <w:t>11.323,75</w:t>
      </w:r>
      <w:r w:rsidR="00BD70D4">
        <w:rPr>
          <w:rFonts w:cstheme="minorHAnsi"/>
        </w:rPr>
        <w:t xml:space="preserve"> eura</w:t>
      </w:r>
      <w:r>
        <w:rPr>
          <w:rFonts w:cstheme="minorHAnsi"/>
        </w:rPr>
        <w:t xml:space="preserve"> </w:t>
      </w:r>
      <w:r w:rsidR="00AB631A">
        <w:rPr>
          <w:rFonts w:cstheme="minorHAnsi"/>
        </w:rPr>
        <w:t xml:space="preserve"> a odnosi se za nabavku spotrske opreme za vježbanje.</w:t>
      </w:r>
    </w:p>
    <w:p w:rsidR="00AB631A" w:rsidRDefault="00AB631A" w:rsidP="00C029D3">
      <w:pPr>
        <w:spacing w:after="0"/>
        <w:jc w:val="both"/>
        <w:rPr>
          <w:rFonts w:cstheme="minorHAnsi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1010 Razvoj sporta i rekreacije</w:t>
            </w: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 144/20)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udrugama (NN 74/14, 70/17, 98/19)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financiranju javnih potreba Općine Posedarje (Službeni glasnik Općine Posedarje04/18)</w:t>
            </w:r>
          </w:p>
          <w:p w:rsidR="00BD70D4" w:rsidRPr="00DD7AAF" w:rsidRDefault="00BD70D4" w:rsidP="00BD70D4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sportu (NN 71/06, 150/08, 124/10, 124/11, 86/12, 94/13, 85/15, 19/16, 98/19 77/20)</w:t>
            </w: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BD70D4" w:rsidRPr="00DD7AAF" w:rsidRDefault="00BD70D4" w:rsidP="00BD70D4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A5269E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BD70D4" w:rsidRPr="00DD7AAF" w:rsidRDefault="00BD70D4" w:rsidP="00A5269E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D7A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D4" w:rsidRPr="00DD7AAF" w:rsidTr="00A5269E">
        <w:tc>
          <w:tcPr>
            <w:tcW w:w="2093" w:type="dxa"/>
            <w:shd w:val="clear" w:color="auto" w:fill="95B3D7" w:themeFill="accent1" w:themeFillTint="99"/>
          </w:tcPr>
          <w:p w:rsidR="00BD70D4" w:rsidRPr="00DD7AAF" w:rsidRDefault="00BD70D4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 w:rsidR="005A2101">
              <w:rPr>
                <w:rFonts w:ascii="Times New Roman" w:hAnsi="Times New Roman" w:cs="Times New Roman"/>
              </w:rPr>
              <w:t>5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 w:rsidR="005A2101">
              <w:rPr>
                <w:rFonts w:ascii="Times New Roman" w:hAnsi="Times New Roman" w:cs="Times New Roman"/>
              </w:rPr>
              <w:t>463.304,00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BD70D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</w:t>
            </w:r>
            <w:r w:rsidR="005A21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godine</w:t>
            </w:r>
            <w:r w:rsidRPr="00DD7AAF">
              <w:rPr>
                <w:rFonts w:ascii="Times New Roman" w:hAnsi="Times New Roman" w:cs="Times New Roman"/>
              </w:rPr>
              <w:t xml:space="preserve"> = </w:t>
            </w:r>
            <w:r w:rsidR="005A2101">
              <w:rPr>
                <w:rFonts w:ascii="Times New Roman" w:hAnsi="Times New Roman" w:cs="Times New Roman"/>
              </w:rPr>
              <w:t>223.961,89</w:t>
            </w:r>
            <w:r w:rsidR="00DD4A14">
              <w:rPr>
                <w:rFonts w:ascii="Times New Roman" w:hAnsi="Times New Roman" w:cs="Times New Roman"/>
              </w:rPr>
              <w:t>€</w:t>
            </w:r>
          </w:p>
          <w:p w:rsidR="00BD70D4" w:rsidRPr="00DD7AAF" w:rsidRDefault="00BD70D4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43" w:rsidRPr="00C029D3" w:rsidRDefault="00991843" w:rsidP="00C029D3">
      <w:pPr>
        <w:spacing w:after="0"/>
        <w:jc w:val="both"/>
        <w:rPr>
          <w:rFonts w:cstheme="minorHAnsi"/>
        </w:rPr>
      </w:pPr>
    </w:p>
    <w:p w:rsidR="00341F23" w:rsidRDefault="00341F23" w:rsidP="00341F23">
      <w:pPr>
        <w:pStyle w:val="NoSpacing"/>
        <w:jc w:val="both"/>
        <w:rPr>
          <w:i w:val="0"/>
        </w:rPr>
      </w:pPr>
    </w:p>
    <w:p w:rsidR="00991843" w:rsidRPr="00991843" w:rsidRDefault="00991843" w:rsidP="00991843">
      <w:pPr>
        <w:pStyle w:val="NoSpacing"/>
        <w:rPr>
          <w:b/>
          <w:i w:val="0"/>
        </w:rPr>
      </w:pPr>
    </w:p>
    <w:p w:rsidR="00991843" w:rsidRP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  <w:b/>
          <w:i w:val="0"/>
        </w:rPr>
        <w:t>Program 1011 Javne potrebe u školstvu</w:t>
      </w:r>
      <w:r w:rsidRPr="00991843">
        <w:rPr>
          <w:rFonts w:cstheme="minorHAnsi"/>
          <w:i w:val="0"/>
        </w:rPr>
        <w:t xml:space="preserve"> planiran</w:t>
      </w:r>
      <w:r w:rsidR="00DD4A14">
        <w:rPr>
          <w:rFonts w:cstheme="minorHAnsi"/>
          <w:i w:val="0"/>
        </w:rPr>
        <w:t>a</w:t>
      </w:r>
      <w:r w:rsidRPr="00991843">
        <w:rPr>
          <w:rFonts w:cstheme="minorHAnsi"/>
          <w:i w:val="0"/>
        </w:rPr>
        <w:t xml:space="preserve"> je u iznosu od </w:t>
      </w:r>
      <w:r w:rsidR="005A2101">
        <w:rPr>
          <w:rFonts w:cstheme="minorHAnsi"/>
          <w:i w:val="0"/>
        </w:rPr>
        <w:t>90.900,00</w:t>
      </w:r>
      <w:r w:rsidRPr="00991843">
        <w:rPr>
          <w:rFonts w:cstheme="minorHAnsi"/>
          <w:i w:val="0"/>
        </w:rPr>
        <w:t xml:space="preserve"> eura a izvršen je u iznosu od </w:t>
      </w:r>
      <w:r w:rsidR="005A2101">
        <w:rPr>
          <w:rFonts w:cstheme="minorHAnsi"/>
          <w:i w:val="0"/>
        </w:rPr>
        <w:t>91.582,34</w:t>
      </w:r>
      <w:r w:rsidR="00DD4A14">
        <w:rPr>
          <w:rFonts w:cstheme="minorHAnsi"/>
          <w:i w:val="0"/>
        </w:rPr>
        <w:t xml:space="preserve"> eura</w:t>
      </w:r>
      <w:r w:rsidRPr="00991843">
        <w:rPr>
          <w:rFonts w:cstheme="minorHAnsi"/>
          <w:i w:val="0"/>
        </w:rPr>
        <w:t xml:space="preserve"> te obuhvaća aktivnosti: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 w:rsidRPr="00991843">
        <w:rPr>
          <w:rFonts w:cstheme="minorHAnsi"/>
        </w:rPr>
        <w:t>Aktivnost A101101 Osnovno,srednjoškolsko i visoko obrazovanje</w:t>
      </w:r>
      <w:r w:rsidRPr="00991843">
        <w:rPr>
          <w:rFonts w:cstheme="minorHAnsi"/>
          <w:i w:val="0"/>
        </w:rPr>
        <w:t xml:space="preserve"> planirano u iznosu od </w:t>
      </w:r>
      <w:r w:rsidR="005A2101">
        <w:rPr>
          <w:rFonts w:cstheme="minorHAnsi"/>
          <w:i w:val="0"/>
        </w:rPr>
        <w:t>80.900,00</w:t>
      </w:r>
      <w:r w:rsidR="00373638">
        <w:rPr>
          <w:rFonts w:cstheme="minorHAnsi"/>
          <w:i w:val="0"/>
        </w:rPr>
        <w:t xml:space="preserve"> eura </w:t>
      </w:r>
      <w:r w:rsidRPr="00991843">
        <w:rPr>
          <w:rFonts w:cstheme="minorHAnsi"/>
          <w:i w:val="0"/>
        </w:rPr>
        <w:t xml:space="preserve"> a izvršena u iznosu od </w:t>
      </w:r>
      <w:r w:rsidR="005A2101">
        <w:rPr>
          <w:rFonts w:cstheme="minorHAnsi"/>
          <w:i w:val="0"/>
        </w:rPr>
        <w:t>91.582,34</w:t>
      </w:r>
      <w:r w:rsidRPr="00991843">
        <w:rPr>
          <w:rFonts w:cstheme="minorHAnsi"/>
          <w:i w:val="0"/>
        </w:rPr>
        <w:t xml:space="preserve"> eur</w:t>
      </w:r>
      <w:r w:rsidR="00373638">
        <w:rPr>
          <w:rFonts w:cstheme="minorHAnsi"/>
          <w:i w:val="0"/>
        </w:rPr>
        <w:t>a.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>Aktivnost obuhvaća promoći proračunskim korisnicima dugih proračuna</w:t>
      </w:r>
      <w:r w:rsidR="00373638">
        <w:rPr>
          <w:rFonts w:cstheme="minorHAnsi"/>
          <w:i w:val="0"/>
        </w:rPr>
        <w:t>,</w:t>
      </w:r>
      <w:r>
        <w:rPr>
          <w:rFonts w:cstheme="minorHAnsi"/>
          <w:i w:val="0"/>
        </w:rPr>
        <w:t>a odnosi se na pomoć DV Latica i DV Ljubičica u Maslenici.</w:t>
      </w:r>
    </w:p>
    <w:p w:rsidR="00991843" w:rsidRDefault="00991843" w:rsidP="00991843">
      <w:pPr>
        <w:pStyle w:val="NoSpacing"/>
        <w:rPr>
          <w:rFonts w:cstheme="minorHAnsi"/>
          <w:i w:val="0"/>
        </w:rPr>
      </w:pPr>
      <w:r>
        <w:rPr>
          <w:rFonts w:cstheme="minorHAnsi"/>
          <w:i w:val="0"/>
        </w:rPr>
        <w:t xml:space="preserve">Naknade građanima i kućanstvima odnose se na sufinanciranje prijevoza u DV latica, </w:t>
      </w:r>
      <w:r w:rsidR="009B749A">
        <w:rPr>
          <w:rFonts w:cstheme="minorHAnsi"/>
          <w:i w:val="0"/>
        </w:rPr>
        <w:t>sufinanciranje prijev</w:t>
      </w:r>
      <w:r w:rsidR="00135CC4">
        <w:rPr>
          <w:rFonts w:cstheme="minorHAnsi"/>
          <w:i w:val="0"/>
        </w:rPr>
        <w:t>oza srednjiškolaca u Z</w:t>
      </w:r>
      <w:r w:rsidR="009B749A">
        <w:rPr>
          <w:rFonts w:cstheme="minorHAnsi"/>
          <w:i w:val="0"/>
        </w:rPr>
        <w:t xml:space="preserve">adar, </w:t>
      </w:r>
      <w:r>
        <w:rPr>
          <w:rFonts w:cstheme="minorHAnsi"/>
          <w:i w:val="0"/>
        </w:rPr>
        <w:t>stipendije studentima i sufinanciranje likovnih kutija i radnog materijala za osnovoškolce s područja Općine.</w:t>
      </w:r>
      <w:r w:rsidRPr="00991843">
        <w:rPr>
          <w:rFonts w:cstheme="minorHAnsi"/>
          <w:i w:val="0"/>
        </w:rPr>
        <w:t xml:space="preserve"> </w:t>
      </w:r>
    </w:p>
    <w:p w:rsidR="009B749A" w:rsidRPr="00991843" w:rsidRDefault="009B749A" w:rsidP="00991843">
      <w:pPr>
        <w:pStyle w:val="NoSpacing"/>
        <w:rPr>
          <w:rFonts w:cstheme="minorHAnsi"/>
          <w:i w:val="0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996"/>
        <w:gridCol w:w="7066"/>
      </w:tblGrid>
      <w:tr w:rsidR="00C45586" w:rsidRPr="00DD7AAF" w:rsidTr="00A5269E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</w:rPr>
            </w:pPr>
          </w:p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C45586" w:rsidRPr="00DD7AAF" w:rsidTr="00A5269E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98/19, 64/20)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Pravilnik o stipendiranju i odobravanju drugih oblika potpore učenicima i studentima u Općini Posedarje (Službeni glasnik Općine Posedarje 01/00)</w:t>
            </w:r>
          </w:p>
          <w:p w:rsidR="00C45586" w:rsidRPr="00DD7AAF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202</w:t>
            </w:r>
            <w:r>
              <w:rPr>
                <w:rFonts w:ascii="Times New Roman" w:hAnsi="Times New Roman" w:cs="Times New Roman"/>
              </w:rPr>
              <w:t>3</w:t>
            </w:r>
            <w:r w:rsidRPr="00DD7AAF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DD7AAF">
              <w:rPr>
                <w:rFonts w:ascii="Times New Roman" w:hAnsi="Times New Roman" w:cs="Times New Roman"/>
              </w:rPr>
              <w:t>.</w:t>
            </w:r>
          </w:p>
        </w:tc>
      </w:tr>
      <w:tr w:rsidR="00C45586" w:rsidRPr="00DD7AAF" w:rsidTr="00A5269E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7AAF"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C45586" w:rsidRPr="00DD7AAF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K101106 Izgradnja dječjeg vrtića</w:t>
            </w:r>
          </w:p>
          <w:p w:rsidR="00C45586" w:rsidRDefault="00C45586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45586" w:rsidRPr="00DD7AAF" w:rsidRDefault="00C45586" w:rsidP="00A5269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DD7AAF" w:rsidTr="00A5269E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Ostvariti zadovoljstvo građana kroz poticanje i sufinanciranje; Dodjela stipendija studentima; Osiguravanja radnih materijala učenicima osnovne škole; Osiguravanja besplatnog prijevoza učenicima srednje škole.</w:t>
            </w:r>
          </w:p>
        </w:tc>
      </w:tr>
      <w:tr w:rsidR="00C45586" w:rsidRPr="00DD7AAF" w:rsidTr="00A5269E"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DD7AAF">
              <w:rPr>
                <w:rFonts w:ascii="Times New Roman" w:hAnsi="Times New Roman" w:cs="Times New Roman"/>
              </w:rPr>
              <w:t>202</w:t>
            </w:r>
            <w:r w:rsidR="005A2101">
              <w:rPr>
                <w:rFonts w:ascii="Times New Roman" w:hAnsi="Times New Roman" w:cs="Times New Roman"/>
              </w:rPr>
              <w:t>5</w:t>
            </w:r>
            <w:r w:rsidRPr="00DD7AAF">
              <w:rPr>
                <w:rFonts w:ascii="Times New Roman" w:hAnsi="Times New Roman" w:cs="Times New Roman"/>
              </w:rPr>
              <w:t>. godina =</w:t>
            </w:r>
            <w:r w:rsidR="005A2101">
              <w:rPr>
                <w:rFonts w:ascii="Times New Roman" w:hAnsi="Times New Roman" w:cs="Times New Roman"/>
              </w:rPr>
              <w:t>90.900,00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DD7AAF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 za 202</w:t>
            </w:r>
            <w:r w:rsidR="005A21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  <w:r w:rsidRPr="00DD7AAF">
              <w:rPr>
                <w:rFonts w:ascii="Times New Roman" w:hAnsi="Times New Roman" w:cs="Times New Roman"/>
              </w:rPr>
              <w:t xml:space="preserve"> = </w:t>
            </w:r>
            <w:r w:rsidR="005A2101">
              <w:rPr>
                <w:rFonts w:ascii="Times New Roman" w:hAnsi="Times New Roman" w:cs="Times New Roman"/>
              </w:rPr>
              <w:t>91.582,34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DD7AAF" w:rsidRDefault="00C45586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86" w:rsidRPr="00DD7AAF" w:rsidTr="00A5269E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DD7AAF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AF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p w:rsidR="00991843" w:rsidRDefault="00991843" w:rsidP="00991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749A" w:rsidRDefault="009B749A" w:rsidP="009B749A">
      <w:pPr>
        <w:pStyle w:val="NoSpacing"/>
        <w:rPr>
          <w:i w:val="0"/>
        </w:rPr>
      </w:pPr>
      <w:r w:rsidRPr="009B749A">
        <w:rPr>
          <w:b/>
          <w:i w:val="0"/>
        </w:rPr>
        <w:t>Program 1012</w:t>
      </w:r>
      <w:r w:rsidRPr="009B749A">
        <w:rPr>
          <w:i w:val="0"/>
        </w:rPr>
        <w:t xml:space="preserve"> </w:t>
      </w:r>
      <w:r w:rsidRPr="009B749A">
        <w:rPr>
          <w:b/>
          <w:i w:val="0"/>
        </w:rPr>
        <w:t>općinski program socijalne skrbi</w:t>
      </w:r>
      <w:r w:rsidRPr="009B749A">
        <w:rPr>
          <w:i w:val="0"/>
        </w:rPr>
        <w:t xml:space="preserve"> planiran je u iznosu od </w:t>
      </w:r>
      <w:r w:rsidR="00206B0D">
        <w:rPr>
          <w:i w:val="0"/>
        </w:rPr>
        <w:t>311.606,00</w:t>
      </w:r>
      <w:r>
        <w:rPr>
          <w:i w:val="0"/>
        </w:rPr>
        <w:t xml:space="preserve"> eura a izvršen </w:t>
      </w:r>
      <w:r w:rsidR="00206B0D">
        <w:rPr>
          <w:i w:val="0"/>
        </w:rPr>
        <w:t>299.149,95</w:t>
      </w:r>
      <w:r>
        <w:rPr>
          <w:i w:val="0"/>
        </w:rPr>
        <w:t xml:space="preserve"> eura.</w:t>
      </w:r>
    </w:p>
    <w:p w:rsidR="009B749A" w:rsidRDefault="009B749A" w:rsidP="003129E3">
      <w:pPr>
        <w:pStyle w:val="NoSpacing"/>
        <w:jc w:val="both"/>
        <w:rPr>
          <w:i w:val="0"/>
        </w:rPr>
      </w:pPr>
      <w:r w:rsidRPr="009B749A">
        <w:t>Aktivnost A101201 Naknade građanima i kućanstvima</w:t>
      </w:r>
      <w:r w:rsidRPr="009B749A">
        <w:rPr>
          <w:i w:val="0"/>
        </w:rPr>
        <w:t xml:space="preserve"> </w:t>
      </w:r>
      <w:r>
        <w:rPr>
          <w:i w:val="0"/>
        </w:rPr>
        <w:t xml:space="preserve"> planirana je u iznosu od </w:t>
      </w:r>
      <w:r w:rsidR="00206B0D">
        <w:rPr>
          <w:i w:val="0"/>
        </w:rPr>
        <w:t>160.169,00</w:t>
      </w:r>
      <w:r w:rsidR="00C45586">
        <w:rPr>
          <w:i w:val="0"/>
        </w:rPr>
        <w:t xml:space="preserve"> eura</w:t>
      </w:r>
      <w:r>
        <w:rPr>
          <w:i w:val="0"/>
        </w:rPr>
        <w:t xml:space="preserve"> a izvršena </w:t>
      </w:r>
      <w:r w:rsidR="00C45586">
        <w:rPr>
          <w:i w:val="0"/>
        </w:rPr>
        <w:t xml:space="preserve"> u iznosu od </w:t>
      </w:r>
      <w:r w:rsidR="00206B0D">
        <w:rPr>
          <w:i w:val="0"/>
        </w:rPr>
        <w:t>125.548,81</w:t>
      </w:r>
      <w:r>
        <w:rPr>
          <w:i w:val="0"/>
        </w:rPr>
        <w:t xml:space="preserve"> eura.</w:t>
      </w:r>
    </w:p>
    <w:p w:rsidR="003129E3" w:rsidRDefault="003129E3" w:rsidP="003129E3">
      <w:pPr>
        <w:pStyle w:val="NoSpacing"/>
        <w:jc w:val="both"/>
        <w:rPr>
          <w:i w:val="0"/>
        </w:rPr>
      </w:pPr>
      <w:r>
        <w:rPr>
          <w:i w:val="0"/>
        </w:rPr>
        <w:t>Redovito su isplaćivane naknade za novorođenu djecu</w:t>
      </w:r>
      <w:r w:rsidR="00C45586">
        <w:rPr>
          <w:i w:val="0"/>
        </w:rPr>
        <w:t>,</w:t>
      </w:r>
      <w:r>
        <w:rPr>
          <w:i w:val="0"/>
        </w:rPr>
        <w:t xml:space="preserve"> zakonska obveza prema Crvenom križu Zadar</w:t>
      </w:r>
      <w:r w:rsidR="00C45586">
        <w:rPr>
          <w:i w:val="0"/>
        </w:rPr>
        <w:t>, te pomoći potrebitim ob</w:t>
      </w:r>
      <w:r w:rsidR="00135CC4">
        <w:rPr>
          <w:i w:val="0"/>
        </w:rPr>
        <w:t>i</w:t>
      </w:r>
      <w:r w:rsidR="00C45586">
        <w:rPr>
          <w:i w:val="0"/>
        </w:rPr>
        <w:t>teljima i pomoć umirovljenicima za</w:t>
      </w:r>
      <w:r w:rsidR="00206B0D">
        <w:rPr>
          <w:i w:val="0"/>
        </w:rPr>
        <w:t xml:space="preserve"> Uskrs i Božić</w:t>
      </w:r>
      <w:r w:rsidR="00C45586">
        <w:rPr>
          <w:i w:val="0"/>
        </w:rPr>
        <w:t>.</w:t>
      </w:r>
    </w:p>
    <w:p w:rsidR="00C45586" w:rsidRPr="00C45586" w:rsidRDefault="00C45586" w:rsidP="003129E3">
      <w:pPr>
        <w:pStyle w:val="NoSpacing"/>
        <w:jc w:val="both"/>
      </w:pPr>
      <w:r w:rsidRPr="00C45586">
        <w:lastRenderedPageBreak/>
        <w:t>Tekući projekt T101203 ESF Zaželi "Zlatne ruke"</w:t>
      </w:r>
      <w:r>
        <w:t xml:space="preserve"> </w:t>
      </w:r>
      <w:r w:rsidRPr="00C45586">
        <w:rPr>
          <w:i w:val="0"/>
        </w:rPr>
        <w:t xml:space="preserve">planiran je u iznosu od </w:t>
      </w:r>
      <w:r w:rsidR="00206B0D">
        <w:rPr>
          <w:i w:val="0"/>
        </w:rPr>
        <w:t>151.437,00</w:t>
      </w:r>
      <w:r w:rsidRPr="00C45586">
        <w:rPr>
          <w:i w:val="0"/>
        </w:rPr>
        <w:t xml:space="preserve"> eura a izvršene u iznosu od </w:t>
      </w:r>
      <w:r w:rsidR="00206B0D">
        <w:rPr>
          <w:i w:val="0"/>
        </w:rPr>
        <w:t>173.601,14</w:t>
      </w:r>
      <w:r w:rsidRPr="00C45586">
        <w:rPr>
          <w:i w:val="0"/>
        </w:rPr>
        <w:t xml:space="preserve"> eura a odnosi se na bruto plaće i naknade</w:t>
      </w:r>
      <w:r>
        <w:rPr>
          <w:i w:val="0"/>
        </w:rPr>
        <w:t xml:space="preserve"> zaposlenih voditelja projekta i geront domaćica.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987"/>
        <w:gridCol w:w="7075"/>
      </w:tblGrid>
      <w:tr w:rsidR="00C45586" w:rsidRPr="00C052AB" w:rsidTr="00A5269E">
        <w:trPr>
          <w:trHeight w:val="502"/>
        </w:trPr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socijalnoj skrbi (NN 157/13, 152/14, 99/15, 52/16, 16/17, 130/17, 98/19)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socijalnoj skrbi Općine Posedarje (Službeni glasnik Posedarje  01/16)</w:t>
            </w:r>
          </w:p>
          <w:p w:rsidR="00C45586" w:rsidRPr="00C052AB" w:rsidRDefault="00C45586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Opis programa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052AB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aktivnosti)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C45586" w:rsidRPr="00C052AB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T101203 Projket zlatne ruke</w:t>
            </w:r>
          </w:p>
          <w:p w:rsidR="00C45586" w:rsidRPr="00C052AB" w:rsidRDefault="00C45586" w:rsidP="00A5269E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Povećanje osnovnih životnih uvjeta socijalno ugroženim obiteljima i kućanstvima; Povećanje zadovoljstva stanovništva. </w:t>
            </w: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C052AB">
              <w:rPr>
                <w:rFonts w:ascii="Times New Roman" w:hAnsi="Times New Roman" w:cs="Times New Roman"/>
              </w:rPr>
              <w:t>202</w:t>
            </w:r>
            <w:r w:rsidR="00206B0D">
              <w:rPr>
                <w:rFonts w:ascii="Times New Roman" w:hAnsi="Times New Roman" w:cs="Times New Roman"/>
              </w:rPr>
              <w:t>5</w:t>
            </w:r>
            <w:r w:rsidRPr="00C052AB">
              <w:rPr>
                <w:rFonts w:ascii="Times New Roman" w:hAnsi="Times New Roman" w:cs="Times New Roman"/>
              </w:rPr>
              <w:t>. godina =</w:t>
            </w:r>
            <w:r w:rsidR="00206B0D">
              <w:rPr>
                <w:rFonts w:ascii="Times New Roman" w:hAnsi="Times New Roman" w:cs="Times New Roman"/>
              </w:rPr>
              <w:t>311.606,00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za 202</w:t>
            </w:r>
            <w:r w:rsidR="00206B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  <w:r w:rsidR="00206B0D">
              <w:rPr>
                <w:rFonts w:ascii="Times New Roman" w:hAnsi="Times New Roman" w:cs="Times New Roman"/>
              </w:rPr>
              <w:t>=299.149,95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586" w:rsidRPr="00C052AB" w:rsidTr="00A5269E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p w:rsidR="009B749A" w:rsidRDefault="009B749A" w:rsidP="009B7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843" w:rsidRDefault="00991843" w:rsidP="00341F23">
      <w:pPr>
        <w:pStyle w:val="NoSpacing"/>
        <w:jc w:val="both"/>
        <w:rPr>
          <w:b/>
          <w:i w:val="0"/>
        </w:rPr>
      </w:pPr>
    </w:p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t xml:space="preserve">Program Održavanje objekata u vlasništvu Općine Posedarje </w:t>
      </w:r>
      <w:r w:rsidRPr="003129E3">
        <w:rPr>
          <w:i w:val="0"/>
        </w:rPr>
        <w:t xml:space="preserve">planiran je u iznosu od </w:t>
      </w:r>
      <w:r w:rsidR="00206B0D">
        <w:rPr>
          <w:i w:val="0"/>
        </w:rPr>
        <w:t>81.609,00</w:t>
      </w:r>
      <w:r w:rsidR="00C45586">
        <w:rPr>
          <w:i w:val="0"/>
        </w:rPr>
        <w:t xml:space="preserve"> </w:t>
      </w:r>
      <w:r>
        <w:rPr>
          <w:i w:val="0"/>
        </w:rPr>
        <w:t xml:space="preserve">eura a izvršen je u iznosu od </w:t>
      </w:r>
      <w:r w:rsidR="00206B0D">
        <w:rPr>
          <w:i w:val="0"/>
        </w:rPr>
        <w:t>95.191,78</w:t>
      </w:r>
      <w:r>
        <w:rPr>
          <w:i w:val="0"/>
        </w:rPr>
        <w:t xml:space="preserve"> eura te </w:t>
      </w:r>
      <w:r w:rsidRPr="003129E3">
        <w:rPr>
          <w:i w:val="0"/>
        </w:rPr>
        <w:t xml:space="preserve"> obuhvaća troškove održavanje općinskih  objekata koji nisu obuhvaćeni ostalim programima i aktivnostima.</w:t>
      </w:r>
      <w:r w:rsidR="00C45586">
        <w:rPr>
          <w:i w:val="0"/>
        </w:rPr>
        <w:t xml:space="preserve">  </w:t>
      </w:r>
    </w:p>
    <w:p w:rsidR="00C45586" w:rsidRDefault="00C45586" w:rsidP="003129E3">
      <w:pPr>
        <w:pStyle w:val="NoSpacing"/>
        <w:jc w:val="both"/>
        <w:rPr>
          <w:i w:val="0"/>
        </w:rPr>
      </w:pP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982"/>
        <w:gridCol w:w="7080"/>
      </w:tblGrid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prostornom uređenju (NN 153/13, 65/17, 114/18, 39/19, 98/19)</w:t>
            </w:r>
          </w:p>
          <w:p w:rsidR="00C45586" w:rsidRPr="00C052AB" w:rsidRDefault="00C45586" w:rsidP="00C45586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poslovima i djelatnostima prostornog uređenja i gradnje (NN 78/15, 118/18)</w:t>
            </w: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C45586" w:rsidRPr="00C052AB" w:rsidRDefault="00C45586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C45586" w:rsidRPr="00C052AB" w:rsidTr="00A5269E">
        <w:tc>
          <w:tcPr>
            <w:tcW w:w="2093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C45586" w:rsidRPr="00C052AB" w:rsidRDefault="00C45586" w:rsidP="00C45586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Pr="00C052AB">
              <w:rPr>
                <w:rFonts w:ascii="Times New Roman" w:hAnsi="Times New Roman" w:cs="Times New Roman"/>
              </w:rPr>
              <w:t>202</w:t>
            </w:r>
            <w:r w:rsidR="00206B0D">
              <w:rPr>
                <w:rFonts w:ascii="Times New Roman" w:hAnsi="Times New Roman" w:cs="Times New Roman"/>
              </w:rPr>
              <w:t>5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 w:rsidR="005A44FC">
              <w:rPr>
                <w:rFonts w:ascii="Times New Roman" w:hAnsi="Times New Roman" w:cs="Times New Roman"/>
              </w:rPr>
              <w:t>81.609,00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C45586" w:rsidRPr="00C052AB" w:rsidRDefault="00C45586" w:rsidP="00135CC4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202</w:t>
            </w:r>
            <w:r w:rsidR="00135CC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.godine=</w:t>
            </w:r>
            <w:r w:rsidR="005A44FC">
              <w:rPr>
                <w:rFonts w:ascii="Times New Roman" w:hAnsi="Times New Roman" w:cs="Times New Roman"/>
              </w:rPr>
              <w:t>95.191,78</w:t>
            </w:r>
          </w:p>
        </w:tc>
      </w:tr>
    </w:tbl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2000"/>
        <w:gridCol w:w="7062"/>
      </w:tblGrid>
      <w:tr w:rsidR="00C45586" w:rsidRPr="00C052AB" w:rsidTr="00A5269E">
        <w:trPr>
          <w:trHeight w:val="569"/>
        </w:trPr>
        <w:tc>
          <w:tcPr>
            <w:tcW w:w="2066" w:type="dxa"/>
            <w:shd w:val="clear" w:color="auto" w:fill="95B3D7" w:themeFill="accent1" w:themeFillTint="99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562" w:type="dxa"/>
            <w:shd w:val="clear" w:color="auto" w:fill="DBE5F1" w:themeFill="accent1" w:themeFillTint="33"/>
          </w:tcPr>
          <w:p w:rsidR="00C45586" w:rsidRPr="00C052AB" w:rsidRDefault="00C45586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Stupanj održivosti objekata</w:t>
            </w:r>
          </w:p>
        </w:tc>
      </w:tr>
    </w:tbl>
    <w:p w:rsidR="00C45586" w:rsidRPr="003129E3" w:rsidRDefault="00C45586" w:rsidP="003129E3">
      <w:pPr>
        <w:pStyle w:val="NoSpacing"/>
        <w:jc w:val="both"/>
        <w:rPr>
          <w:i w:val="0"/>
        </w:rPr>
      </w:pPr>
    </w:p>
    <w:p w:rsidR="003129E3" w:rsidRPr="00C052AB" w:rsidRDefault="003129E3" w:rsidP="00312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b/>
          <w:i w:val="0"/>
        </w:rPr>
        <w:lastRenderedPageBreak/>
        <w:t>Program 1015 Djelatnost vlastitog komunalnog pogona</w:t>
      </w:r>
      <w:r w:rsidRPr="003129E3">
        <w:rPr>
          <w:i w:val="0"/>
        </w:rPr>
        <w:t xml:space="preserve"> planiran je u iznosu od </w:t>
      </w:r>
      <w:r w:rsidR="005A44FC">
        <w:rPr>
          <w:i w:val="0"/>
        </w:rPr>
        <w:t>384.685,00</w:t>
      </w:r>
      <w:r w:rsidR="0055057E">
        <w:rPr>
          <w:i w:val="0"/>
        </w:rPr>
        <w:t xml:space="preserve"> eura a izvršen u iznosu od </w:t>
      </w:r>
      <w:r w:rsidR="005A44FC">
        <w:rPr>
          <w:i w:val="0"/>
        </w:rPr>
        <w:t>320.130,72</w:t>
      </w:r>
      <w:r w:rsidR="0055057E">
        <w:rPr>
          <w:i w:val="0"/>
        </w:rPr>
        <w:t xml:space="preserve"> eura</w:t>
      </w:r>
      <w:r w:rsidRPr="003129E3">
        <w:rPr>
          <w:i w:val="0"/>
        </w:rPr>
        <w:t xml:space="preserve"> 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3129E3">
        <w:rPr>
          <w:i w:val="0"/>
        </w:rPr>
        <w:t>Obuhvaća aktivnost i projekt i to: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A101501 redovita djelatnost vlastitog komunalnog pogona</w:t>
      </w:r>
      <w:r w:rsidRPr="003129E3">
        <w:rPr>
          <w:i w:val="0"/>
        </w:rPr>
        <w:t xml:space="preserve"> </w:t>
      </w:r>
      <w:r w:rsidR="0055057E">
        <w:rPr>
          <w:i w:val="0"/>
        </w:rPr>
        <w:t xml:space="preserve"> planirana je u iznosu od </w:t>
      </w:r>
      <w:r w:rsidR="005A44FC">
        <w:rPr>
          <w:i w:val="0"/>
        </w:rPr>
        <w:t>331.185,00</w:t>
      </w:r>
      <w:r w:rsidR="0055057E">
        <w:rPr>
          <w:i w:val="0"/>
        </w:rPr>
        <w:t xml:space="preserve"> eur</w:t>
      </w:r>
      <w:r w:rsidR="00A42925">
        <w:rPr>
          <w:i w:val="0"/>
        </w:rPr>
        <w:t>a</w:t>
      </w:r>
      <w:r w:rsidR="0055057E">
        <w:rPr>
          <w:i w:val="0"/>
        </w:rPr>
        <w:t xml:space="preserve"> a izvršena u iznosu od </w:t>
      </w:r>
      <w:r w:rsidR="005A44FC">
        <w:rPr>
          <w:i w:val="0"/>
        </w:rPr>
        <w:t>290.168,87</w:t>
      </w:r>
      <w:r w:rsidR="0055057E">
        <w:rPr>
          <w:i w:val="0"/>
        </w:rPr>
        <w:t xml:space="preserve"> eura a obuhva</w:t>
      </w:r>
      <w:r w:rsidRPr="003129E3">
        <w:rPr>
          <w:i w:val="0"/>
        </w:rPr>
        <w:t>ća rashode za zaposlene, materijalne rashode.</w:t>
      </w:r>
    </w:p>
    <w:p w:rsidR="003129E3" w:rsidRPr="003129E3" w:rsidRDefault="003129E3" w:rsidP="003129E3">
      <w:pPr>
        <w:pStyle w:val="NoSpacing"/>
        <w:jc w:val="both"/>
        <w:rPr>
          <w:i w:val="0"/>
        </w:rPr>
      </w:pPr>
      <w:r w:rsidRPr="0055057E">
        <w:t>Aktivnost A101502 Naplata parkinga</w:t>
      </w:r>
      <w:r w:rsidRPr="003129E3">
        <w:rPr>
          <w:i w:val="0"/>
        </w:rPr>
        <w:t xml:space="preserve"> </w:t>
      </w:r>
      <w:r w:rsidR="0055057E">
        <w:rPr>
          <w:i w:val="0"/>
        </w:rPr>
        <w:t xml:space="preserve">planirana je u iznosu od </w:t>
      </w:r>
      <w:r w:rsidR="00A42925">
        <w:rPr>
          <w:i w:val="0"/>
        </w:rPr>
        <w:t>20.</w:t>
      </w:r>
      <w:r w:rsidR="005A44FC">
        <w:rPr>
          <w:i w:val="0"/>
        </w:rPr>
        <w:t>500,00</w:t>
      </w:r>
      <w:r w:rsidR="0055057E">
        <w:rPr>
          <w:i w:val="0"/>
        </w:rPr>
        <w:t xml:space="preserve"> eura a izvršena u iznosu od </w:t>
      </w:r>
      <w:r w:rsidR="005A44FC">
        <w:rPr>
          <w:i w:val="0"/>
        </w:rPr>
        <w:t>20.946,85</w:t>
      </w:r>
      <w:r w:rsidR="0055057E">
        <w:rPr>
          <w:i w:val="0"/>
        </w:rPr>
        <w:t xml:space="preserve"> eura te</w:t>
      </w:r>
      <w:r w:rsidRPr="003129E3">
        <w:rPr>
          <w:i w:val="0"/>
        </w:rPr>
        <w:t xml:space="preserve"> obuhvaća sve materijalne rashode oko organizacije naplate parkinga.</w:t>
      </w:r>
    </w:p>
    <w:p w:rsidR="003129E3" w:rsidRDefault="003129E3" w:rsidP="003129E3">
      <w:pPr>
        <w:pStyle w:val="NoSpacing"/>
        <w:jc w:val="both"/>
        <w:rPr>
          <w:i w:val="0"/>
        </w:rPr>
      </w:pPr>
      <w:r w:rsidRPr="0055057E">
        <w:t>Kapitalni projekt K101501 Opremanje vlastitog komunalnog pogona</w:t>
      </w:r>
      <w:r w:rsidR="0055057E">
        <w:rPr>
          <w:i w:val="0"/>
        </w:rPr>
        <w:t xml:space="preserve"> koji je planiran u iznosu od </w:t>
      </w:r>
      <w:r w:rsidR="005A44FC">
        <w:rPr>
          <w:i w:val="0"/>
        </w:rPr>
        <w:t>33.000,00</w:t>
      </w:r>
      <w:r w:rsidR="0055057E">
        <w:rPr>
          <w:i w:val="0"/>
        </w:rPr>
        <w:t xml:space="preserve"> eur</w:t>
      </w:r>
      <w:r w:rsidR="00A42925">
        <w:rPr>
          <w:i w:val="0"/>
        </w:rPr>
        <w:t>a</w:t>
      </w:r>
      <w:r w:rsidR="0055057E">
        <w:rPr>
          <w:i w:val="0"/>
        </w:rPr>
        <w:t xml:space="preserve"> a izvršen u iznosu od </w:t>
      </w:r>
      <w:r w:rsidR="005A44FC">
        <w:rPr>
          <w:i w:val="0"/>
        </w:rPr>
        <w:t>9.015,00</w:t>
      </w:r>
      <w:r w:rsidR="0055057E">
        <w:rPr>
          <w:i w:val="0"/>
        </w:rPr>
        <w:t xml:space="preserve"> eura i</w:t>
      </w:r>
      <w:r w:rsidRPr="003129E3">
        <w:rPr>
          <w:i w:val="0"/>
        </w:rPr>
        <w:t xml:space="preserve"> odnosi se na kupnju opreme za vlastiti komunalni pogon</w:t>
      </w:r>
      <w:r w:rsidR="0055057E">
        <w:rPr>
          <w:i w:val="0"/>
        </w:rPr>
        <w:t>.</w:t>
      </w:r>
    </w:p>
    <w:p w:rsidR="00A42925" w:rsidRDefault="00A42925" w:rsidP="003129E3">
      <w:pPr>
        <w:pStyle w:val="NoSpacing"/>
        <w:jc w:val="both"/>
        <w:rPr>
          <w:i w:val="0"/>
        </w:rPr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977"/>
        <w:gridCol w:w="7085"/>
      </w:tblGrid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A101502 Baplata parkinga</w:t>
            </w:r>
          </w:p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5269E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Cilj programa je osigurati sredstva za plaće djelatnika i ostalih materijalnih troškova nužnih za nesmetano obavljanje poslova iz svog djelokruga; Osigurati sredstva za nabavu materijala koji je potreban za redovito obavljanje poslova iz nadležnosti pogona; Osigurati sredstva za nabavku opreme za redovito funkcioniranje pogona  </w:t>
            </w: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za  202</w:t>
            </w:r>
            <w:r w:rsidR="005A44FC">
              <w:rPr>
                <w:rFonts w:ascii="Times New Roman" w:hAnsi="Times New Roman" w:cs="Times New Roman"/>
              </w:rPr>
              <w:t>5</w:t>
            </w:r>
            <w:r w:rsidRPr="00C052AB">
              <w:rPr>
                <w:rFonts w:ascii="Times New Roman" w:hAnsi="Times New Roman" w:cs="Times New Roman"/>
              </w:rPr>
              <w:t xml:space="preserve">. godina = </w:t>
            </w:r>
            <w:r w:rsidR="005A44FC">
              <w:rPr>
                <w:rFonts w:ascii="Times New Roman" w:hAnsi="Times New Roman" w:cs="Times New Roman"/>
              </w:rPr>
              <w:t>384.685,00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5A44FC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</w:t>
            </w:r>
            <w:r w:rsidR="005A44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.godinu=</w:t>
            </w:r>
            <w:r w:rsidR="005A44FC">
              <w:rPr>
                <w:rFonts w:ascii="Times New Roman" w:hAnsi="Times New Roman" w:cs="Times New Roman"/>
              </w:rPr>
              <w:t>320.130,72</w:t>
            </w:r>
            <w:r>
              <w:rPr>
                <w:rFonts w:ascii="Times New Roman" w:hAnsi="Times New Roman" w:cs="Times New Roman"/>
              </w:rPr>
              <w:t>€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2925" w:rsidRPr="00C052AB" w:rsidTr="00A5269E">
        <w:trPr>
          <w:trHeight w:val="694"/>
        </w:trPr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  <w:vAlign w:val="center"/>
          </w:tcPr>
          <w:p w:rsidR="00A42925" w:rsidRPr="00C052AB" w:rsidRDefault="00A42925" w:rsidP="00A5269E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aktima; Ispunjenje preduvjeta za redovno obavljanje poslova iz djelokruga rada kroz osiguranje sredstava; Nabavom nove opreme stvorit će se uvjeti za kvalitetniji rad Vlastitog pogona.</w:t>
            </w:r>
          </w:p>
        </w:tc>
      </w:tr>
    </w:tbl>
    <w:p w:rsidR="003129E3" w:rsidRPr="00C052AB" w:rsidRDefault="003129E3" w:rsidP="00312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AFA" w:rsidRPr="00125AFA" w:rsidRDefault="00125AFA" w:rsidP="00125AF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Troškovi proračunskog </w:t>
      </w:r>
      <w:r w:rsidRPr="00125AFA">
        <w:rPr>
          <w:rFonts w:cstheme="minorHAnsi"/>
        </w:rPr>
        <w:t>korisnik</w:t>
      </w:r>
      <w:r>
        <w:rPr>
          <w:rFonts w:cstheme="minorHAnsi"/>
        </w:rPr>
        <w:t>a</w:t>
      </w:r>
      <w:r w:rsidRPr="00125AFA">
        <w:rPr>
          <w:rFonts w:cstheme="minorHAnsi"/>
        </w:rPr>
        <w:t xml:space="preserve"> 47070 Dječji vrtić Cvrčak Posedarje planiran je u iznosu od </w:t>
      </w:r>
      <w:r w:rsidR="00A42925">
        <w:rPr>
          <w:rFonts w:cstheme="minorHAnsi"/>
        </w:rPr>
        <w:t>407.283,00</w:t>
      </w:r>
      <w:r>
        <w:rPr>
          <w:rFonts w:cstheme="minorHAnsi"/>
        </w:rPr>
        <w:t xml:space="preserve"> eura a izvršen u iznosu </w:t>
      </w:r>
      <w:r w:rsidR="00A42925">
        <w:rPr>
          <w:rFonts w:cstheme="minorHAnsi"/>
        </w:rPr>
        <w:t>353.105,67</w:t>
      </w:r>
      <w:r>
        <w:rPr>
          <w:rFonts w:cstheme="minorHAnsi"/>
        </w:rPr>
        <w:t xml:space="preserve"> eura.</w:t>
      </w:r>
    </w:p>
    <w:p w:rsidR="005A44FC" w:rsidRPr="00125AFA" w:rsidRDefault="005A44FC" w:rsidP="005A44FC">
      <w:pPr>
        <w:pStyle w:val="NoSpacing"/>
        <w:jc w:val="both"/>
        <w:rPr>
          <w:i w:val="0"/>
        </w:rPr>
      </w:pPr>
      <w:r>
        <w:rPr>
          <w:i w:val="0"/>
        </w:rPr>
        <w:t>Od 01.07.2025.godine proračunski korisnik Djećji vrtić Cvrčak je u sustavu pune riznice, što znači da je vrtiću od 01.07.2025.godine ukinut njegov žiro-račun te posluje preko jedinstvenog računa Općine Posedarje. Kako u 2025.godini nije bilo rebalansa proračuna programska klasifikacija se nije mijenjala pa je financiranje vrtića prikazano kroz dvije aktivnosti.</w:t>
      </w:r>
    </w:p>
    <w:p w:rsidR="005A44FC" w:rsidRPr="00125AFA" w:rsidRDefault="005A44FC" w:rsidP="00125AFA">
      <w:pPr>
        <w:spacing w:after="0"/>
        <w:jc w:val="both"/>
        <w:rPr>
          <w:rFonts w:cstheme="minorHAnsi"/>
        </w:rPr>
      </w:pPr>
    </w:p>
    <w:p w:rsidR="00125AFA" w:rsidRDefault="00125AFA" w:rsidP="005A44FC">
      <w:pPr>
        <w:pStyle w:val="NoSpacing"/>
        <w:jc w:val="both"/>
        <w:rPr>
          <w:i w:val="0"/>
        </w:rPr>
      </w:pPr>
      <w:r w:rsidRPr="00125AFA">
        <w:t>A101102 Financiranje dječjeg vrtića Cvrčak Posedarje</w:t>
      </w:r>
      <w:r>
        <w:rPr>
          <w:i w:val="0"/>
        </w:rPr>
        <w:t xml:space="preserve"> planirana je u iznosu od </w:t>
      </w:r>
      <w:r w:rsidR="005A44FC">
        <w:rPr>
          <w:i w:val="0"/>
        </w:rPr>
        <w:t>424.700,00</w:t>
      </w:r>
      <w:r>
        <w:rPr>
          <w:i w:val="0"/>
        </w:rPr>
        <w:t xml:space="preserve"> eura a izvršena u iznosu od </w:t>
      </w:r>
      <w:r w:rsidR="005A44FC">
        <w:rPr>
          <w:i w:val="0"/>
        </w:rPr>
        <w:t>407.413,10</w:t>
      </w:r>
      <w:r>
        <w:rPr>
          <w:i w:val="0"/>
        </w:rPr>
        <w:t xml:space="preserve"> eura.Troškovi se odnose na bruto plaće, troškove nakade za prijevoz, troškove energije</w:t>
      </w:r>
      <w:r w:rsidR="00A42925">
        <w:rPr>
          <w:i w:val="0"/>
        </w:rPr>
        <w:t>, računalne usluge te troškovi preventivnog zdravstvenog pregleda djelatnika.</w:t>
      </w:r>
    </w:p>
    <w:p w:rsidR="00125AFA" w:rsidRPr="00125AFA" w:rsidRDefault="00125AFA" w:rsidP="00125AFA">
      <w:pPr>
        <w:pStyle w:val="NoSpacing"/>
        <w:rPr>
          <w:i w:val="0"/>
        </w:rPr>
      </w:pPr>
      <w:r w:rsidRPr="00235BB1">
        <w:lastRenderedPageBreak/>
        <w:t>Aktivnost A101103 Financiranje dječjeg vrtića Cvrčak posedarje van riznice</w:t>
      </w:r>
      <w:r w:rsidRPr="00125AFA">
        <w:rPr>
          <w:i w:val="0"/>
        </w:rPr>
        <w:t xml:space="preserve"> </w:t>
      </w:r>
      <w:r w:rsidR="00235BB1">
        <w:rPr>
          <w:i w:val="0"/>
        </w:rPr>
        <w:t xml:space="preserve">planirana je </w:t>
      </w:r>
      <w:r w:rsidRPr="00125AFA">
        <w:rPr>
          <w:i w:val="0"/>
        </w:rPr>
        <w:t xml:space="preserve">u iznosu od </w:t>
      </w:r>
      <w:r w:rsidR="00EF054B">
        <w:rPr>
          <w:i w:val="0"/>
        </w:rPr>
        <w:t>62.500,00</w:t>
      </w:r>
      <w:r w:rsidR="00A42925">
        <w:rPr>
          <w:i w:val="0"/>
        </w:rPr>
        <w:t xml:space="preserve"> eura</w:t>
      </w:r>
      <w:r w:rsidRPr="00125AFA">
        <w:rPr>
          <w:i w:val="0"/>
        </w:rPr>
        <w:t xml:space="preserve"> </w:t>
      </w:r>
      <w:r w:rsidR="00235BB1">
        <w:rPr>
          <w:i w:val="0"/>
        </w:rPr>
        <w:t xml:space="preserve"> a izvršena je u iznosu od</w:t>
      </w:r>
      <w:r w:rsidR="00A42925">
        <w:rPr>
          <w:i w:val="0"/>
        </w:rPr>
        <w:t xml:space="preserve"> </w:t>
      </w:r>
      <w:r w:rsidR="00EF054B">
        <w:rPr>
          <w:i w:val="0"/>
        </w:rPr>
        <w:t>53.384,74</w:t>
      </w:r>
      <w:r w:rsidR="00235BB1">
        <w:rPr>
          <w:i w:val="0"/>
        </w:rPr>
        <w:t xml:space="preserve"> eura i</w:t>
      </w:r>
      <w:r w:rsidRPr="00125AFA">
        <w:rPr>
          <w:i w:val="0"/>
        </w:rPr>
        <w:t>obuhvaća troškove vrtića koje vrtić financira iz svo</w:t>
      </w:r>
      <w:r w:rsidR="00EF054B">
        <w:rPr>
          <w:i w:val="0"/>
        </w:rPr>
        <w:t>jih prihoda.</w:t>
      </w:r>
    </w:p>
    <w:p w:rsidR="00235BB1" w:rsidRDefault="00235BB1" w:rsidP="00235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85"/>
        <w:gridCol w:w="7077"/>
      </w:tblGrid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98/19,144/20)</w:t>
            </w:r>
          </w:p>
          <w:p w:rsidR="00A42925" w:rsidRPr="00C052AB" w:rsidRDefault="00A42925" w:rsidP="00A42925">
            <w:pPr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C052AB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2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52AB">
              <w:rPr>
                <w:rFonts w:ascii="Times New Roman" w:hAnsi="Times New Roman" w:cs="Times New Roman"/>
              </w:rPr>
              <w:t xml:space="preserve">Aktivnost A101102 Financiranje Dječjeg vrtića Cvrčak </w:t>
            </w:r>
            <w:r>
              <w:rPr>
                <w:rFonts w:ascii="Times New Roman" w:hAnsi="Times New Roman" w:cs="Times New Roman"/>
              </w:rPr>
              <w:t>P</w:t>
            </w:r>
            <w:r w:rsidRPr="00C052AB">
              <w:rPr>
                <w:rFonts w:ascii="Times New Roman" w:hAnsi="Times New Roman" w:cs="Times New Roman"/>
              </w:rPr>
              <w:t>osedarje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A42925" w:rsidRPr="00C052AB" w:rsidTr="00A5269E"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   </w:t>
            </w:r>
            <w:r w:rsidRPr="00C052AB">
              <w:rPr>
                <w:rFonts w:ascii="Times New Roman" w:hAnsi="Times New Roman" w:cs="Times New Roman"/>
              </w:rPr>
              <w:t>202</w:t>
            </w:r>
            <w:r w:rsidR="00EF054B">
              <w:rPr>
                <w:rFonts w:ascii="Times New Roman" w:hAnsi="Times New Roman" w:cs="Times New Roman"/>
              </w:rPr>
              <w:t>5</w:t>
            </w:r>
            <w:r w:rsidRPr="00C052AB">
              <w:rPr>
                <w:rFonts w:ascii="Times New Roman" w:hAnsi="Times New Roman" w:cs="Times New Roman"/>
              </w:rPr>
              <w:t>. godina =</w:t>
            </w:r>
            <w:r w:rsidR="00EF054B">
              <w:rPr>
                <w:rFonts w:ascii="Times New Roman" w:hAnsi="Times New Roman" w:cs="Times New Roman"/>
              </w:rPr>
              <w:t>487.200,00</w:t>
            </w:r>
            <w:r w:rsidRPr="00C052AB"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A42925">
            <w:pPr>
              <w:numPr>
                <w:ilvl w:val="0"/>
                <w:numId w:val="4"/>
              </w:num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Izvršenje za 202</w:t>
            </w:r>
            <w:r w:rsidR="00EF054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  <w:r w:rsidRPr="00C052AB">
              <w:rPr>
                <w:rFonts w:ascii="Times New Roman" w:hAnsi="Times New Roman" w:cs="Times New Roman"/>
              </w:rPr>
              <w:t xml:space="preserve"> = </w:t>
            </w:r>
            <w:r w:rsidR="00EF054B">
              <w:rPr>
                <w:rFonts w:ascii="Times New Roman" w:hAnsi="Times New Roman" w:cs="Times New Roman"/>
              </w:rPr>
              <w:t>460.797,84</w:t>
            </w:r>
            <w:r>
              <w:rPr>
                <w:rFonts w:ascii="Times New Roman" w:hAnsi="Times New Roman" w:cs="Times New Roman"/>
              </w:rPr>
              <w:t>€</w:t>
            </w:r>
          </w:p>
          <w:p w:rsidR="00A42925" w:rsidRPr="00C052AB" w:rsidRDefault="00A42925" w:rsidP="00A526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925" w:rsidRPr="00C052AB" w:rsidTr="00A5269E">
        <w:trPr>
          <w:trHeight w:val="695"/>
        </w:trPr>
        <w:tc>
          <w:tcPr>
            <w:tcW w:w="2093" w:type="dxa"/>
            <w:shd w:val="clear" w:color="auto" w:fill="95B3D7" w:themeFill="accent1" w:themeFillTint="99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42925" w:rsidRPr="00C052AB" w:rsidRDefault="00A42925" w:rsidP="00A52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AB">
              <w:rPr>
                <w:rFonts w:ascii="Times New Roman" w:hAnsi="Times New Roman" w:cs="Times New Roman"/>
                <w:sz w:val="24"/>
                <w:szCs w:val="24"/>
              </w:rPr>
              <w:t>Broj upisane djece, uz poštivanje propisima određenih standarda, kroz kvalitetne programe koji se provode u vrtiću.</w:t>
            </w:r>
          </w:p>
        </w:tc>
      </w:tr>
    </w:tbl>
    <w:p w:rsidR="00A42925" w:rsidRDefault="00A42925" w:rsidP="00235B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9E3" w:rsidRDefault="003129E3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235BB1">
      <w:pPr>
        <w:pStyle w:val="NoSpacing"/>
        <w:shd w:val="clear" w:color="auto" w:fill="FFC000"/>
        <w:jc w:val="both"/>
        <w:rPr>
          <w:b/>
          <w:i w:val="0"/>
        </w:rPr>
      </w:pPr>
      <w:r>
        <w:rPr>
          <w:b/>
          <w:i w:val="0"/>
        </w:rPr>
        <w:t>4. POSEBNI IZVJEŠTAJI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35BB1" w:rsidRDefault="00235BB1" w:rsidP="00341F23">
      <w:pPr>
        <w:pStyle w:val="NoSpacing"/>
        <w:jc w:val="both"/>
        <w:rPr>
          <w:i w:val="0"/>
        </w:rPr>
      </w:pPr>
      <w:r w:rsidRPr="00235BB1">
        <w:rPr>
          <w:i w:val="0"/>
        </w:rPr>
        <w:t>Po</w:t>
      </w:r>
      <w:r>
        <w:rPr>
          <w:i w:val="0"/>
        </w:rPr>
        <w:t>sebni izvještaj iz člkanka 4. Pravilnika o godišnjem izvještaju o izvršenju proračuna sadrži: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proračunske zalihe,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 xml:space="preserve">izvještaj o zaduživanju na domaćem i stranom </w:t>
      </w:r>
      <w:r w:rsidR="00CD066F">
        <w:rPr>
          <w:i w:val="0"/>
        </w:rPr>
        <w:t>tržištu</w:t>
      </w:r>
      <w:r>
        <w:rPr>
          <w:i w:val="0"/>
        </w:rPr>
        <w:t xml:space="preserve"> n</w:t>
      </w:r>
      <w:r w:rsidR="00CD066F">
        <w:rPr>
          <w:i w:val="0"/>
        </w:rPr>
        <w:t>o</w:t>
      </w:r>
      <w:r>
        <w:rPr>
          <w:i w:val="0"/>
        </w:rPr>
        <w:t>vca i kapitala,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danim jamstvima i plaćanjima po protestiranim jamstvima,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korištenju sredstava EU,</w:t>
      </w:r>
    </w:p>
    <w:p w:rsidR="00235BB1" w:rsidRDefault="00563E37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</w:t>
      </w:r>
      <w:r w:rsidR="00235BB1">
        <w:rPr>
          <w:i w:val="0"/>
        </w:rPr>
        <w:t>j o danim zajmovima i potraživanjima po danim zajmovima,</w:t>
      </w:r>
    </w:p>
    <w:p w:rsidR="00235BB1" w:rsidRDefault="00235BB1" w:rsidP="00235BB1">
      <w:pPr>
        <w:pStyle w:val="NoSpacing"/>
        <w:numPr>
          <w:ilvl w:val="0"/>
          <w:numId w:val="24"/>
        </w:numPr>
        <w:jc w:val="both"/>
        <w:rPr>
          <w:i w:val="0"/>
        </w:rPr>
      </w:pPr>
      <w:r>
        <w:rPr>
          <w:i w:val="0"/>
        </w:rPr>
        <w:t>izvještaj o stanju potraživanja i dospijelih obveza te stanje potencijalnih obveza po sudskim sporovima</w:t>
      </w:r>
    </w:p>
    <w:p w:rsidR="00235BB1" w:rsidRPr="00235BB1" w:rsidRDefault="00235BB1" w:rsidP="00235BB1">
      <w:pPr>
        <w:pStyle w:val="NoSpacing"/>
        <w:numPr>
          <w:ilvl w:val="0"/>
          <w:numId w:val="23"/>
        </w:numPr>
        <w:jc w:val="both"/>
        <w:rPr>
          <w:i w:val="0"/>
        </w:rPr>
      </w:pP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CD066F" w:rsidRPr="00CD066F" w:rsidRDefault="00235BB1" w:rsidP="00CD066F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4.1.</w:t>
      </w:r>
      <w:r w:rsidR="00CD066F" w:rsidRPr="00CD066F">
        <w:rPr>
          <w:b/>
          <w:i w:val="0"/>
        </w:rPr>
        <w:t xml:space="preserve"> Izvještaj o korištenju proračunske zalihe</w:t>
      </w:r>
    </w:p>
    <w:p w:rsidR="00CD066F" w:rsidRDefault="00CD066F" w:rsidP="00235BB1">
      <w:pPr>
        <w:pStyle w:val="NoSpacing"/>
        <w:jc w:val="both"/>
        <w:rPr>
          <w:i w:val="0"/>
        </w:rPr>
      </w:pPr>
    </w:p>
    <w:p w:rsidR="00235BB1" w:rsidRDefault="00235BB1" w:rsidP="00235BB1">
      <w:pPr>
        <w:pStyle w:val="NoSpacing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35BB1" w:rsidRDefault="00235BB1" w:rsidP="00341F23">
      <w:pPr>
        <w:pStyle w:val="NoSpacing"/>
        <w:jc w:val="both"/>
        <w:rPr>
          <w:b/>
          <w:i w:val="0"/>
        </w:rPr>
      </w:pPr>
    </w:p>
    <w:p w:rsidR="002E2D53" w:rsidRPr="00CD066F" w:rsidRDefault="00D87331" w:rsidP="00D87331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4.2</w:t>
      </w:r>
      <w:r w:rsidR="002E2D53" w:rsidRPr="00CD066F">
        <w:rPr>
          <w:b/>
          <w:i w:val="0"/>
        </w:rPr>
        <w:t xml:space="preserve">. </w:t>
      </w:r>
      <w:r w:rsidR="00CD066F" w:rsidRPr="00CD066F">
        <w:rPr>
          <w:b/>
          <w:i w:val="0"/>
        </w:rPr>
        <w:t xml:space="preserve"> Izvještaj o zaduživanju na domaćem i stranom tržištu novca i kapitala</w:t>
      </w:r>
    </w:p>
    <w:p w:rsidR="009D3903" w:rsidRPr="0056703E" w:rsidRDefault="009D3903" w:rsidP="002E2D53">
      <w:pPr>
        <w:pStyle w:val="NoSpacing"/>
        <w:rPr>
          <w:i w:val="0"/>
        </w:rPr>
      </w:pPr>
    </w:p>
    <w:p w:rsidR="009D3903" w:rsidRDefault="008D4676" w:rsidP="00EF054B">
      <w:pPr>
        <w:pStyle w:val="NoSpacing"/>
        <w:jc w:val="both"/>
        <w:rPr>
          <w:rFonts w:cstheme="minorHAnsi"/>
          <w:i w:val="0"/>
        </w:rPr>
      </w:pPr>
      <w:r w:rsidRPr="003D08E9">
        <w:rPr>
          <w:rFonts w:cstheme="minorHAnsi"/>
          <w:i w:val="0"/>
        </w:rPr>
        <w:t>U 20</w:t>
      </w:r>
      <w:r w:rsidR="00AB6D0D" w:rsidRPr="003D08E9">
        <w:rPr>
          <w:rFonts w:cstheme="minorHAnsi"/>
          <w:i w:val="0"/>
        </w:rPr>
        <w:t>2</w:t>
      </w:r>
      <w:r w:rsidR="00EF054B">
        <w:rPr>
          <w:rFonts w:cstheme="minorHAnsi"/>
          <w:i w:val="0"/>
        </w:rPr>
        <w:t>5.g. Općina Posedarje  ni proračunski korisnik dječji vrtić Cvrčak Pose</w:t>
      </w:r>
      <w:r w:rsidR="00135CC4">
        <w:rPr>
          <w:rFonts w:cstheme="minorHAnsi"/>
          <w:i w:val="0"/>
        </w:rPr>
        <w:t>darje</w:t>
      </w:r>
      <w:r w:rsidR="00EF054B">
        <w:rPr>
          <w:rFonts w:cstheme="minorHAnsi"/>
          <w:i w:val="0"/>
        </w:rPr>
        <w:t xml:space="preserve"> nisu se zaduživali.</w:t>
      </w:r>
    </w:p>
    <w:p w:rsidR="00EF054B" w:rsidRDefault="00EF054B" w:rsidP="00EF054B">
      <w:pPr>
        <w:pStyle w:val="NoSpacing"/>
        <w:jc w:val="both"/>
        <w:rPr>
          <w:rFonts w:cstheme="minorHAnsi"/>
          <w:b/>
          <w:i w:val="0"/>
          <w:sz w:val="24"/>
          <w:szCs w:val="24"/>
        </w:rPr>
      </w:pPr>
    </w:p>
    <w:p w:rsidR="00CD066F" w:rsidRPr="00CD066F" w:rsidRDefault="00CD066F" w:rsidP="00CD066F">
      <w:pPr>
        <w:pStyle w:val="NoSpacing"/>
        <w:shd w:val="clear" w:color="auto" w:fill="FDE9D9" w:themeFill="accent6" w:themeFillTint="33"/>
        <w:rPr>
          <w:rFonts w:cstheme="minorHAnsi"/>
          <w:b/>
          <w:i w:val="0"/>
          <w:sz w:val="24"/>
          <w:szCs w:val="24"/>
        </w:rPr>
      </w:pPr>
      <w:r w:rsidRPr="00CD066F">
        <w:rPr>
          <w:b/>
          <w:i w:val="0"/>
        </w:rPr>
        <w:t>4.3. Izvještaj o danim jamstvima i plaćanjima po protestiranim jamstvima</w:t>
      </w:r>
    </w:p>
    <w:p w:rsidR="00E137C6" w:rsidRPr="00E137C6" w:rsidRDefault="00E137C6" w:rsidP="007E22B5">
      <w:pPr>
        <w:pStyle w:val="NoSpacing"/>
        <w:jc w:val="both"/>
        <w:rPr>
          <w:i w:val="0"/>
        </w:rPr>
      </w:pPr>
      <w:r w:rsidRPr="00E137C6">
        <w:rPr>
          <w:i w:val="0"/>
        </w:rPr>
        <w:lastRenderedPageBreak/>
        <w:t>Općina Posedarje nije davala ni primala jamstva.</w:t>
      </w:r>
    </w:p>
    <w:p w:rsidR="00226FD3" w:rsidRPr="007E22B5" w:rsidRDefault="00226FD3" w:rsidP="007E22B5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5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korištenju sredstava EU</w:t>
      </w:r>
    </w:p>
    <w:p w:rsidR="00EF054B" w:rsidRDefault="00EF054B" w:rsidP="00EF054B">
      <w:pPr>
        <w:jc w:val="both"/>
        <w:rPr>
          <w:shd w:val="clear" w:color="auto" w:fill="FFFFFF"/>
        </w:rPr>
      </w:pPr>
    </w:p>
    <w:p w:rsidR="00EF054B" w:rsidRDefault="00EF054B" w:rsidP="00EF054B">
      <w:pPr>
        <w:jc w:val="both"/>
        <w:rPr>
          <w:shd w:val="clear" w:color="auto" w:fill="FFFFFF"/>
        </w:rPr>
      </w:pPr>
      <w:r w:rsidRPr="00EF054B">
        <w:rPr>
          <w:shd w:val="clear" w:color="auto" w:fill="FFFFFF"/>
        </w:rPr>
        <w:t>Izvještaj o korištenju sredstava fondova Europske unije jedinica lokalne i područne (regionalne) samouprave sadrži podatke o evidentiranim prihodima i primicima te rashodima i izdacima iz fondova Europske unije za proračunsku godinu po fondovima Europske unije i stanje obveza i potraživanja po sredstvima iz fondova Europske unije na kraju proračunske godine.</w:t>
      </w:r>
    </w:p>
    <w:p w:rsidR="00EF054B" w:rsidRDefault="00EF054B" w:rsidP="00EF054B">
      <w:pPr>
        <w:numPr>
          <w:ilvl w:val="0"/>
          <w:numId w:val="28"/>
        </w:numPr>
        <w:suppressAutoHyphens/>
        <w:spacing w:after="0" w:line="240" w:lineRule="auto"/>
        <w:jc w:val="both"/>
      </w:pPr>
      <w:r>
        <w:rPr>
          <w:b/>
        </w:rPr>
        <w:t>91.368,93</w:t>
      </w:r>
      <w:r w:rsidRPr="00DA6EBC">
        <w:rPr>
          <w:b/>
        </w:rPr>
        <w:t xml:space="preserve"> EUR</w:t>
      </w:r>
      <w:r>
        <w:t xml:space="preserve"> – sa konta 638 Pomoći temeljem prijenosa EU sredstava. Navedena sredstva odnose se na projekt Zaželi-Zlatne ruke. Sredstva su ostvarena iz fonda 561 – Europski socijalni fond. </w:t>
      </w:r>
    </w:p>
    <w:p w:rsidR="00EF054B" w:rsidRPr="00EF054B" w:rsidRDefault="00EF054B" w:rsidP="00EF054B">
      <w:pPr>
        <w:jc w:val="both"/>
        <w:rPr>
          <w:shd w:val="clear" w:color="auto" w:fill="FFFFFF"/>
        </w:rPr>
      </w:pPr>
    </w:p>
    <w:p w:rsidR="00CD066F" w:rsidRDefault="00CD066F" w:rsidP="00CD066F">
      <w:pPr>
        <w:pStyle w:val="NoSpacing"/>
        <w:jc w:val="both"/>
        <w:rPr>
          <w:i w:val="0"/>
        </w:rPr>
      </w:pPr>
    </w:p>
    <w:p w:rsidR="00CD066F" w:rsidRPr="00CD066F" w:rsidRDefault="00CD066F" w:rsidP="00CD066F">
      <w:pPr>
        <w:pStyle w:val="NoSpacing"/>
        <w:numPr>
          <w:ilvl w:val="1"/>
          <w:numId w:val="26"/>
        </w:numPr>
        <w:shd w:val="clear" w:color="auto" w:fill="FDE9D9" w:themeFill="accent6" w:themeFillTint="33"/>
        <w:jc w:val="both"/>
        <w:rPr>
          <w:b/>
          <w:i w:val="0"/>
        </w:rPr>
      </w:pPr>
      <w:r w:rsidRPr="00CD066F">
        <w:rPr>
          <w:b/>
          <w:i w:val="0"/>
        </w:rPr>
        <w:t>Izvještaj o danim zajmovima i potraživanjima po danim zajmovima</w:t>
      </w:r>
    </w:p>
    <w:p w:rsidR="00CD066F" w:rsidRDefault="00CD066F" w:rsidP="00CD066F">
      <w:pPr>
        <w:pStyle w:val="NoSpacing"/>
        <w:jc w:val="both"/>
        <w:rPr>
          <w:i w:val="0"/>
        </w:rPr>
      </w:pPr>
      <w:r>
        <w:rPr>
          <w:i w:val="0"/>
        </w:rPr>
        <w:t xml:space="preserve">U izvještajnom razdoblju Općina Posedarje ni proračunski korisnkik DV Cvrčak </w:t>
      </w:r>
      <w:r w:rsidR="00BF6AD7">
        <w:rPr>
          <w:i w:val="0"/>
        </w:rPr>
        <w:t>nije davala zajmove niti ima potraživanja po danim zajmovima.</w:t>
      </w:r>
    </w:p>
    <w:p w:rsidR="00954CC4" w:rsidRDefault="00954CC4" w:rsidP="00954CC4">
      <w:pPr>
        <w:pStyle w:val="NoSpacing"/>
        <w:jc w:val="both"/>
        <w:rPr>
          <w:i w:val="0"/>
        </w:rPr>
      </w:pPr>
    </w:p>
    <w:p w:rsidR="00954CC4" w:rsidRPr="004F56B6" w:rsidRDefault="001E6A21" w:rsidP="00BF6AD7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4</w:t>
      </w:r>
      <w:r w:rsidR="00954CC4" w:rsidRPr="004F56B6">
        <w:rPr>
          <w:b/>
          <w:i w:val="0"/>
        </w:rPr>
        <w:t>.</w:t>
      </w:r>
      <w:r w:rsidR="00BF6AD7">
        <w:rPr>
          <w:b/>
          <w:i w:val="0"/>
        </w:rPr>
        <w:t>6.</w:t>
      </w:r>
      <w:r w:rsidR="00563E37">
        <w:rPr>
          <w:b/>
          <w:i w:val="0"/>
        </w:rPr>
        <w:t>1</w:t>
      </w:r>
      <w:r w:rsidR="00954CC4" w:rsidRPr="004F56B6">
        <w:rPr>
          <w:b/>
          <w:i w:val="0"/>
        </w:rPr>
        <w:t xml:space="preserve"> </w:t>
      </w:r>
      <w:r w:rsidR="00BF6AD7">
        <w:rPr>
          <w:b/>
          <w:i w:val="0"/>
        </w:rPr>
        <w:t>Stanje nenaplaćenih potraživanja</w:t>
      </w:r>
    </w:p>
    <w:p w:rsidR="001E6A21" w:rsidRDefault="001E6A21" w:rsidP="00954CC4">
      <w:pPr>
        <w:pStyle w:val="NoSpacing"/>
        <w:jc w:val="both"/>
        <w:rPr>
          <w:i w:val="0"/>
        </w:rPr>
      </w:pPr>
    </w:p>
    <w:p w:rsidR="004F56B6" w:rsidRDefault="004F56B6" w:rsidP="00954CC4">
      <w:pPr>
        <w:pStyle w:val="NoSpacing"/>
        <w:jc w:val="both"/>
        <w:rPr>
          <w:i w:val="0"/>
        </w:rPr>
      </w:pPr>
      <w:r>
        <w:rPr>
          <w:i w:val="0"/>
        </w:rPr>
        <w:t>Ukupna potraživanja Općine Posedarje</w:t>
      </w:r>
      <w:r w:rsidR="00F720E1">
        <w:rPr>
          <w:i w:val="0"/>
        </w:rPr>
        <w:t xml:space="preserve"> za prihode poslovanja </w:t>
      </w:r>
      <w:r>
        <w:rPr>
          <w:i w:val="0"/>
        </w:rPr>
        <w:t xml:space="preserve"> na dan 31.12.20</w:t>
      </w:r>
      <w:r w:rsidR="006B5F70">
        <w:rPr>
          <w:i w:val="0"/>
        </w:rPr>
        <w:t>2</w:t>
      </w:r>
      <w:r w:rsidR="00EF054B">
        <w:rPr>
          <w:i w:val="0"/>
        </w:rPr>
        <w:t>5</w:t>
      </w:r>
      <w:r>
        <w:rPr>
          <w:i w:val="0"/>
        </w:rPr>
        <w:t xml:space="preserve">. godine iznose </w:t>
      </w:r>
      <w:r w:rsidR="001E6A21">
        <w:rPr>
          <w:i w:val="0"/>
        </w:rPr>
        <w:t>86</w:t>
      </w:r>
      <w:r w:rsidR="00F720E1">
        <w:rPr>
          <w:i w:val="0"/>
        </w:rPr>
        <w:t>3.026,74</w:t>
      </w:r>
      <w:r w:rsidR="00B26625">
        <w:rPr>
          <w:i w:val="0"/>
        </w:rPr>
        <w:t xml:space="preserve"> eura.</w:t>
      </w:r>
      <w:r w:rsidR="00BB693D">
        <w:rPr>
          <w:i w:val="0"/>
        </w:rPr>
        <w:t xml:space="preserve"> </w:t>
      </w:r>
      <w:r>
        <w:rPr>
          <w:i w:val="0"/>
        </w:rPr>
        <w:t xml:space="preserve"> Stanje nenaplaćenih potraživanja proračunskog korisnika DV Cvrčak Posedarje iznose </w:t>
      </w:r>
      <w:r w:rsidR="00A427EB">
        <w:rPr>
          <w:i w:val="0"/>
        </w:rPr>
        <w:t>4.0</w:t>
      </w:r>
      <w:r w:rsidR="001E6A21">
        <w:rPr>
          <w:i w:val="0"/>
        </w:rPr>
        <w:t>75,28</w:t>
      </w:r>
      <w:r w:rsidR="00B26625">
        <w:rPr>
          <w:i w:val="0"/>
        </w:rPr>
        <w:t xml:space="preserve"> eura.</w:t>
      </w:r>
    </w:p>
    <w:p w:rsidR="00D74D30" w:rsidRDefault="00D74D30" w:rsidP="00954CC4">
      <w:pPr>
        <w:pStyle w:val="NoSpacing"/>
        <w:jc w:val="both"/>
        <w:rPr>
          <w:i w:val="0"/>
        </w:rPr>
      </w:pPr>
      <w:r>
        <w:rPr>
          <w:i w:val="0"/>
        </w:rPr>
        <w:t>Člankom 37. Pravilnika o izmjenama i dopunama Pravilnika o proračunskom računovodstvu i računskom planu propisana je obveza provođenja ispravka vrijednosti potraživanja na kraju godine. Ispravak potraživanja u 202</w:t>
      </w:r>
      <w:r w:rsidR="00E65154">
        <w:rPr>
          <w:i w:val="0"/>
        </w:rPr>
        <w:t>5</w:t>
      </w:r>
      <w:r>
        <w:rPr>
          <w:i w:val="0"/>
        </w:rPr>
        <w:t xml:space="preserve">. godini je proveden i iznosi </w:t>
      </w:r>
      <w:r w:rsidR="001E6A21">
        <w:rPr>
          <w:i w:val="0"/>
        </w:rPr>
        <w:t>281.836,33</w:t>
      </w:r>
      <w:r w:rsidR="00B26625">
        <w:rPr>
          <w:i w:val="0"/>
        </w:rPr>
        <w:t xml:space="preserve"> eura.</w:t>
      </w:r>
    </w:p>
    <w:p w:rsidR="001E6A21" w:rsidRDefault="001E6A21" w:rsidP="00954CC4">
      <w:pPr>
        <w:pStyle w:val="NoSpacing"/>
        <w:jc w:val="both"/>
        <w:rPr>
          <w:i w:val="0"/>
        </w:rPr>
      </w:pPr>
    </w:p>
    <w:p w:rsidR="009A5DA5" w:rsidRDefault="001E6A21" w:rsidP="001E6A21">
      <w:pPr>
        <w:pStyle w:val="NoSpacing"/>
        <w:rPr>
          <w:i w:val="0"/>
        </w:rPr>
      </w:pPr>
      <w:r w:rsidRPr="001E6A21">
        <w:rPr>
          <w:i w:val="0"/>
        </w:rPr>
        <w:t>Potraživanja za poreze (161) odnose na potraživanja za porez na potrošnju, , porez na kuće za odmor, porez na promet nekretnina, porez na nekretnine</w:t>
      </w:r>
      <w:r w:rsidR="009A5DA5">
        <w:rPr>
          <w:i w:val="0"/>
        </w:rPr>
        <w:t>.</w:t>
      </w:r>
    </w:p>
    <w:p w:rsidR="001E6A21" w:rsidRDefault="001E6A21" w:rsidP="009A5DA5">
      <w:pPr>
        <w:pStyle w:val="NoSpacing"/>
        <w:rPr>
          <w:i w:val="0"/>
        </w:rPr>
      </w:pPr>
      <w:r w:rsidRPr="001E6A21">
        <w:rPr>
          <w:i w:val="0"/>
        </w:rPr>
        <w:t xml:space="preserve"> Navedena potraživanja iznose </w:t>
      </w:r>
      <w:r w:rsidR="009A5DA5">
        <w:rPr>
          <w:i w:val="0"/>
        </w:rPr>
        <w:t>207.990,39 eura.</w:t>
      </w:r>
      <w:r w:rsidRPr="001E6A21">
        <w:rPr>
          <w:i w:val="0"/>
        </w:rPr>
        <w:t xml:space="preserve"> Porezna uprava Zadar obavlja poslove vezano za utvrđivanje i naplatu </w:t>
      </w:r>
      <w:r w:rsidR="009A5DA5">
        <w:rPr>
          <w:i w:val="0"/>
        </w:rPr>
        <w:t>poreza na promet nekretnina i poreza na potrošnju.</w:t>
      </w:r>
    </w:p>
    <w:p w:rsidR="009A5DA5" w:rsidRDefault="009A5DA5" w:rsidP="009A5DA5">
      <w:pPr>
        <w:pStyle w:val="NoSpacing"/>
        <w:rPr>
          <w:i w:val="0"/>
        </w:rPr>
      </w:pPr>
    </w:p>
    <w:p w:rsidR="009A5DA5" w:rsidRDefault="009A5DA5" w:rsidP="009A5DA5">
      <w:pPr>
        <w:pStyle w:val="NoSpacing"/>
        <w:rPr>
          <w:i w:val="0"/>
        </w:rPr>
      </w:pPr>
      <w:r>
        <w:rPr>
          <w:i w:val="0"/>
        </w:rPr>
        <w:t>Potraživanja za pomoći iz inozemstva i od subjekata unutar općeg proračuna iznose 138.135,00 eura a odnose se na potraživanja po projektu Zaželi-Zlatne ruke koji se  financira iz Europskog socijalnog fonda.</w:t>
      </w:r>
    </w:p>
    <w:p w:rsidR="009A5DA5" w:rsidRPr="009A5DA5" w:rsidRDefault="009A5DA5" w:rsidP="009A5DA5">
      <w:pPr>
        <w:pStyle w:val="NoSpacing"/>
        <w:rPr>
          <w:i w:val="0"/>
        </w:rPr>
      </w:pPr>
    </w:p>
    <w:p w:rsidR="001E6A21" w:rsidRPr="00EC1464" w:rsidRDefault="001E6A21" w:rsidP="001E6A21">
      <w:pPr>
        <w:jc w:val="both"/>
        <w:rPr>
          <w:rFonts w:ascii="Minion Pro" w:hAnsi="Minion Pro"/>
        </w:rPr>
      </w:pPr>
      <w:r w:rsidRPr="00EC1464">
        <w:rPr>
          <w:rFonts w:ascii="Minion Pro" w:hAnsi="Minion Pro"/>
        </w:rPr>
        <w:t>Potraživan</w:t>
      </w:r>
      <w:r>
        <w:rPr>
          <w:rFonts w:ascii="Minion Pro" w:hAnsi="Minion Pro"/>
        </w:rPr>
        <w:t>ja za prihode od imovine (</w:t>
      </w:r>
      <w:r w:rsidRPr="00EC1464">
        <w:rPr>
          <w:rFonts w:ascii="Minion Pro" w:hAnsi="Minion Pro"/>
        </w:rPr>
        <w:t xml:space="preserve">164) iznose </w:t>
      </w:r>
      <w:r w:rsidR="009A5DA5">
        <w:rPr>
          <w:rFonts w:ascii="Minion Pro" w:hAnsi="Minion Pro"/>
        </w:rPr>
        <w:t>88.556,24 eura</w:t>
      </w:r>
      <w:r w:rsidRPr="00EC1464">
        <w:rPr>
          <w:rFonts w:ascii="Minion Pro" w:hAnsi="Minion Pro"/>
        </w:rPr>
        <w:t xml:space="preserve"> i većina potraživanja odnosi se na potraživanja od zakupa i iznajmljivanja imovine</w:t>
      </w:r>
      <w:r w:rsidR="00563E37">
        <w:rPr>
          <w:rFonts w:ascii="Minion Pro" w:hAnsi="Minion Pro"/>
        </w:rPr>
        <w:t xml:space="preserve"> i potraživanja za izdane koncesije.</w:t>
      </w:r>
    </w:p>
    <w:p w:rsidR="009A5DA5" w:rsidRDefault="00563E37" w:rsidP="001E6A21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P</w:t>
      </w:r>
      <w:r w:rsidR="001E6A21" w:rsidRPr="00EC1464">
        <w:rPr>
          <w:rFonts w:ascii="Minion Pro" w:hAnsi="Minion Pro"/>
        </w:rPr>
        <w:t>rihode poslovanja odnosi se na potraživanja za upravne i administrativne pristojbe, pristojbe po pose</w:t>
      </w:r>
      <w:r w:rsidR="001E6A21">
        <w:rPr>
          <w:rFonts w:ascii="Minion Pro" w:hAnsi="Minion Pro"/>
        </w:rPr>
        <w:t>bnim propisima i naknade (</w:t>
      </w:r>
      <w:r w:rsidR="001E6A21" w:rsidRPr="00EC1464">
        <w:rPr>
          <w:rFonts w:ascii="Minion Pro" w:hAnsi="Minion Pro"/>
        </w:rPr>
        <w:t xml:space="preserve">165) u ukupnom iznosu od </w:t>
      </w:r>
      <w:r w:rsidR="009A5DA5">
        <w:rPr>
          <w:rFonts w:ascii="Minion Pro" w:hAnsi="Minion Pro"/>
        </w:rPr>
        <w:t>428.549,41</w:t>
      </w:r>
      <w:r w:rsidR="00F720E1">
        <w:rPr>
          <w:rFonts w:ascii="Minion Pro" w:hAnsi="Minion Pro"/>
        </w:rPr>
        <w:t xml:space="preserve"> </w:t>
      </w:r>
      <w:r w:rsidR="009A5DA5">
        <w:rPr>
          <w:rFonts w:ascii="Minion Pro" w:hAnsi="Minion Pro"/>
        </w:rPr>
        <w:t>eura.</w:t>
      </w:r>
      <w:r w:rsidR="001E6A21" w:rsidRPr="00EC1464">
        <w:rPr>
          <w:rFonts w:ascii="Minion Pro" w:hAnsi="Minion Pro"/>
        </w:rPr>
        <w:t xml:space="preserve"> </w:t>
      </w:r>
    </w:p>
    <w:p w:rsidR="001E6A21" w:rsidRDefault="009A5DA5" w:rsidP="001E6A21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Najvećom dijelom ta se potraživanja odnose na potraživanja za komunalni doprinos, potraživanja za komunalnu naknadu te potraživanja za katastarsku izmjeru.</w:t>
      </w:r>
      <w:r w:rsidRPr="00EC1464">
        <w:rPr>
          <w:rFonts w:ascii="Minion Pro" w:hAnsi="Minion Pro"/>
        </w:rPr>
        <w:t xml:space="preserve"> </w:t>
      </w:r>
    </w:p>
    <w:p w:rsidR="009A5DA5" w:rsidRPr="00EC1464" w:rsidRDefault="009A5DA5" w:rsidP="001E6A21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Potraživanja za kazne i upravne mjere te ostale prihodie (168) iznose 5.870,98 eura a najvećim dijelom iznose za troškove ovrhe za općinske prihode.</w:t>
      </w:r>
    </w:p>
    <w:p w:rsidR="001E6A21" w:rsidRPr="00EC1464" w:rsidRDefault="001E6A21" w:rsidP="001E6A21">
      <w:pPr>
        <w:jc w:val="both"/>
        <w:rPr>
          <w:rFonts w:ascii="Minion Pro" w:hAnsi="Minion Pro"/>
        </w:rPr>
      </w:pPr>
    </w:p>
    <w:p w:rsidR="001E6A21" w:rsidRPr="00EC1464" w:rsidRDefault="001E6A21" w:rsidP="001E6A21">
      <w:pPr>
        <w:jc w:val="both"/>
        <w:rPr>
          <w:rFonts w:ascii="Minion Pro" w:hAnsi="Minion Pro"/>
        </w:rPr>
      </w:pPr>
    </w:p>
    <w:p w:rsidR="001E6A21" w:rsidRPr="00EC1464" w:rsidRDefault="001E6A21" w:rsidP="001E6A21">
      <w:pPr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Potraživanja od prodaje nefinancijske imovine </w:t>
      </w:r>
      <w:r w:rsidRPr="00EC1464">
        <w:rPr>
          <w:rFonts w:ascii="Minion Pro" w:hAnsi="Minion Pro"/>
        </w:rPr>
        <w:t xml:space="preserve">odnose se u cijelosti na Općinu </w:t>
      </w:r>
      <w:r w:rsidR="00E07261">
        <w:rPr>
          <w:rFonts w:ascii="Minion Pro" w:hAnsi="Minion Pro"/>
        </w:rPr>
        <w:t>Posedarje</w:t>
      </w:r>
      <w:r w:rsidRPr="00EC1464">
        <w:rPr>
          <w:rFonts w:ascii="Minion Pro" w:hAnsi="Minion Pro"/>
        </w:rPr>
        <w:t xml:space="preserve"> te podrazumijevaju potraživanja za prihode od prodaje građevinskog zemljišta</w:t>
      </w:r>
      <w:r w:rsidR="00E07261">
        <w:rPr>
          <w:rFonts w:ascii="Minion Pro" w:hAnsi="Minion Pro"/>
        </w:rPr>
        <w:t>.</w:t>
      </w:r>
      <w:r w:rsidRPr="00EC1464">
        <w:rPr>
          <w:rFonts w:ascii="Minion Pro" w:hAnsi="Minion Pro"/>
        </w:rPr>
        <w:t xml:space="preserve"> </w:t>
      </w:r>
    </w:p>
    <w:p w:rsidR="001E6A21" w:rsidRPr="00EC1464" w:rsidRDefault="001E6A21" w:rsidP="001E6A21">
      <w:pPr>
        <w:jc w:val="both"/>
        <w:rPr>
          <w:rFonts w:ascii="Minion Pro" w:hAnsi="Minion Pro"/>
        </w:rPr>
      </w:pPr>
    </w:p>
    <w:p w:rsidR="001E6A21" w:rsidRPr="00EC1464" w:rsidRDefault="001E6A21" w:rsidP="001E6A21">
      <w:pPr>
        <w:jc w:val="both"/>
        <w:rPr>
          <w:rFonts w:ascii="Minion Pro" w:hAnsi="Minion Pro"/>
        </w:rPr>
      </w:pPr>
      <w:r w:rsidRPr="00EC1464">
        <w:rPr>
          <w:rFonts w:ascii="Minion Pro" w:hAnsi="Minion Pro"/>
        </w:rPr>
        <w:t>Potraživanja  za prihode od prodaj</w:t>
      </w:r>
      <w:r>
        <w:rPr>
          <w:rFonts w:ascii="Minion Pro" w:hAnsi="Minion Pro"/>
        </w:rPr>
        <w:t>e građevinskog zemljišta (</w:t>
      </w:r>
      <w:r w:rsidRPr="00EC1464">
        <w:rPr>
          <w:rFonts w:ascii="Minion Pro" w:hAnsi="Minion Pro"/>
        </w:rPr>
        <w:t xml:space="preserve">171) iznose </w:t>
      </w:r>
      <w:r w:rsidR="00E07261">
        <w:rPr>
          <w:rFonts w:ascii="Minion Pro" w:hAnsi="Minion Pro"/>
        </w:rPr>
        <w:t>108.135,39 eura.</w:t>
      </w:r>
      <w:r w:rsidRPr="00EC1464">
        <w:rPr>
          <w:rFonts w:ascii="Minion Pro" w:hAnsi="Minion Pro"/>
        </w:rPr>
        <w:t xml:space="preserve"> </w:t>
      </w:r>
    </w:p>
    <w:p w:rsidR="001E6A21" w:rsidRPr="00723158" w:rsidRDefault="001E6A21" w:rsidP="001E6A21">
      <w:pPr>
        <w:jc w:val="both"/>
        <w:rPr>
          <w:rFonts w:ascii="Minion Pro" w:hAnsi="Minion Pro"/>
        </w:rPr>
      </w:pPr>
      <w:r w:rsidRPr="00EC1464">
        <w:rPr>
          <w:rFonts w:ascii="Minion Pro" w:hAnsi="Minion Pro"/>
        </w:rPr>
        <w:t xml:space="preserve">Člankom 37.a Pravilnika o izmjenama i dopunama Pravilnika o proračunskom računovodstvu i računskom planu propisani su uvjeti za provođenje ispravka vrijednosti potraživanja na kraju godine te je navedeno i provedeno i iznosi </w:t>
      </w:r>
      <w:r w:rsidR="00E07261">
        <w:rPr>
          <w:rFonts w:ascii="Minion Pro" w:hAnsi="Minion Pro"/>
        </w:rPr>
        <w:t xml:space="preserve">11.467,80 eura </w:t>
      </w:r>
      <w:r w:rsidRPr="00EC1464">
        <w:rPr>
          <w:rFonts w:ascii="Minion Pro" w:hAnsi="Minion Pro"/>
        </w:rPr>
        <w:t xml:space="preserve">sa datumom 31.12.2024. godine. Iznos ispravka iznosi </w:t>
      </w:r>
      <w:r w:rsidR="00E07261">
        <w:rPr>
          <w:rFonts w:ascii="Minion Pro" w:hAnsi="Minion Pro"/>
        </w:rPr>
        <w:t>12.759,39</w:t>
      </w:r>
      <w:r w:rsidRPr="00EC1464">
        <w:rPr>
          <w:rFonts w:ascii="Minion Pro" w:hAnsi="Minion Pro"/>
        </w:rPr>
        <w:t xml:space="preserve"> eura na datum 31.12.2025</w:t>
      </w:r>
      <w:r w:rsidR="00E07261">
        <w:rPr>
          <w:rFonts w:ascii="Minion Pro" w:hAnsi="Minion Pro"/>
        </w:rPr>
        <w:t>.</w:t>
      </w:r>
    </w:p>
    <w:p w:rsidR="00DE04AA" w:rsidRDefault="00DE04AA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NoSpacing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A66660" w:rsidP="00E723CA">
            <w:pPr>
              <w:jc w:val="right"/>
            </w:pPr>
            <w:r>
              <w:t>61.918,88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78.504,92</w:t>
            </w:r>
          </w:p>
        </w:tc>
      </w:tr>
      <w:tr w:rsidR="00A66660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ostale stalne poreze na imovinu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72.284,86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-4.718,27</w:t>
            </w:r>
          </w:p>
        </w:tc>
      </w:tr>
      <w:tr w:rsidR="00A66660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tekuće pomoći id državnog proračuna temeljem prijenosa EU sredstava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138.135,00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15.139,53</w:t>
            </w:r>
          </w:p>
        </w:tc>
      </w:tr>
      <w:tr w:rsidR="00A66660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dane koncesije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66660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49.618,28</w:t>
            </w:r>
          </w:p>
        </w:tc>
      </w:tr>
      <w:tr w:rsidR="00A427EB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427EB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17.383,48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6.414,95</w:t>
            </w:r>
          </w:p>
        </w:tc>
      </w:tr>
      <w:tr w:rsidR="00E723CA" w:rsidTr="00BD665A">
        <w:trPr>
          <w:trHeight w:val="449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DE04A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60.251,04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D665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</w:t>
            </w:r>
            <w:r w:rsidR="00BD665A">
              <w:rPr>
                <w:i w:val="0"/>
              </w:rPr>
              <w:t>-katastarska izmjera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F720E1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78.698,55</w:t>
            </w:r>
          </w:p>
        </w:tc>
      </w:tr>
      <w:tr w:rsidR="00BD665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D665A" w:rsidRDefault="00BD665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D665A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132.022,57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153.501,97</w:t>
            </w:r>
          </w:p>
        </w:tc>
      </w:tr>
      <w:tr w:rsidR="00A427EB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427EB" w:rsidRDefault="00A427EB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ostale prihode/troškove ovrhe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427EB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5.870,98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A66660" w:rsidP="00A427EB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108.135,39</w:t>
            </w:r>
          </w:p>
        </w:tc>
      </w:tr>
      <w:tr w:rsidR="00A20F3D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A20F3D" w:rsidRDefault="008C3ED7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UKUPNO STANJE POTRAŽIVANJA OPĆINA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20F3D" w:rsidRDefault="00A66660" w:rsidP="00F720E1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97</w:t>
            </w:r>
            <w:r w:rsidR="00F720E1">
              <w:rPr>
                <w:i w:val="0"/>
              </w:rPr>
              <w:t>3</w:t>
            </w:r>
            <w:r>
              <w:rPr>
                <w:i w:val="0"/>
              </w:rPr>
              <w:t>.</w:t>
            </w:r>
            <w:r w:rsidR="00F720E1">
              <w:rPr>
                <w:i w:val="0"/>
              </w:rPr>
              <w:t>162,13</w:t>
            </w:r>
          </w:p>
        </w:tc>
      </w:tr>
      <w:tr w:rsidR="00BF58EF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F58EF" w:rsidRDefault="00BF58EF" w:rsidP="00E723CA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Potraživanja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F58EF" w:rsidRDefault="00A66660" w:rsidP="00E723CA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4.075,28</w:t>
            </w:r>
          </w:p>
        </w:tc>
      </w:tr>
    </w:tbl>
    <w:p w:rsidR="004F56B6" w:rsidRDefault="004F56B6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A66660" w:rsidRDefault="00A66660" w:rsidP="00954CC4">
      <w:pPr>
        <w:pStyle w:val="NoSpacing"/>
        <w:jc w:val="both"/>
        <w:rPr>
          <w:i w:val="0"/>
        </w:rPr>
      </w:pPr>
    </w:p>
    <w:p w:rsidR="00E723CA" w:rsidRDefault="00E723CA" w:rsidP="00954CC4">
      <w:pPr>
        <w:pStyle w:val="NoSpacing"/>
        <w:jc w:val="both"/>
        <w:rPr>
          <w:i w:val="0"/>
        </w:rPr>
      </w:pPr>
    </w:p>
    <w:p w:rsidR="00A66660" w:rsidRDefault="00A66660" w:rsidP="00954CC4">
      <w:pPr>
        <w:pStyle w:val="NoSpacing"/>
        <w:jc w:val="both"/>
        <w:rPr>
          <w:i w:val="0"/>
        </w:rPr>
      </w:pPr>
    </w:p>
    <w:p w:rsidR="00A427EB" w:rsidRDefault="00A427EB" w:rsidP="00954CC4">
      <w:pPr>
        <w:pStyle w:val="NoSpacing"/>
        <w:jc w:val="both"/>
        <w:rPr>
          <w:i w:val="0"/>
        </w:rPr>
      </w:pPr>
    </w:p>
    <w:p w:rsidR="00A427EB" w:rsidRDefault="00A427EB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66660" w:rsidRDefault="00A66660" w:rsidP="00954CC4">
      <w:pPr>
        <w:pStyle w:val="NoSpacing"/>
        <w:jc w:val="both"/>
        <w:rPr>
          <w:i w:val="0"/>
        </w:rPr>
      </w:pPr>
    </w:p>
    <w:p w:rsidR="00A66660" w:rsidRDefault="00A66660" w:rsidP="00954CC4">
      <w:pPr>
        <w:pStyle w:val="NoSpacing"/>
        <w:jc w:val="both"/>
        <w:rPr>
          <w:i w:val="0"/>
        </w:rPr>
      </w:pPr>
    </w:p>
    <w:p w:rsidR="00A66660" w:rsidRPr="00A66660" w:rsidRDefault="00A66660" w:rsidP="00A66660">
      <w:pPr>
        <w:pStyle w:val="NoSpacing"/>
        <w:jc w:val="both"/>
        <w:rPr>
          <w:b/>
          <w:i w:val="0"/>
        </w:rPr>
      </w:pPr>
    </w:p>
    <w:p w:rsidR="005F3485" w:rsidRDefault="00A66660" w:rsidP="00A66660">
      <w:pPr>
        <w:pStyle w:val="NoSpacing"/>
        <w:numPr>
          <w:ilvl w:val="0"/>
          <w:numId w:val="28"/>
        </w:numPr>
        <w:jc w:val="both"/>
        <w:rPr>
          <w:b/>
          <w:i w:val="0"/>
        </w:rPr>
      </w:pPr>
      <w:r>
        <w:rPr>
          <w:i w:val="0"/>
        </w:rPr>
        <w:t>U a</w:t>
      </w:r>
      <w:r w:rsidR="005F3485" w:rsidRPr="005F3485">
        <w:rPr>
          <w:i w:val="0"/>
        </w:rPr>
        <w:t>nalitici saldaconta postoji analitička evidencija svih potraživanja po pojedinom dužniku.</w:t>
      </w:r>
    </w:p>
    <w:p w:rsidR="00D04BBD" w:rsidRDefault="00D04BBD" w:rsidP="00954CC4">
      <w:pPr>
        <w:pStyle w:val="NoSpacing"/>
        <w:jc w:val="both"/>
        <w:rPr>
          <w:b/>
          <w:i w:val="0"/>
        </w:rPr>
      </w:pPr>
    </w:p>
    <w:p w:rsidR="00A92E91" w:rsidRPr="00A92E91" w:rsidRDefault="00F720E1" w:rsidP="00BB693D">
      <w:pPr>
        <w:pStyle w:val="NoSpacing"/>
        <w:shd w:val="clear" w:color="auto" w:fill="FDE9D9" w:themeFill="accent6" w:themeFillTint="33"/>
        <w:jc w:val="both"/>
        <w:rPr>
          <w:b/>
          <w:i w:val="0"/>
        </w:rPr>
      </w:pPr>
      <w:r>
        <w:rPr>
          <w:b/>
          <w:i w:val="0"/>
        </w:rPr>
        <w:t>4</w:t>
      </w:r>
      <w:r w:rsidR="00A92E91" w:rsidRPr="00A92E91">
        <w:rPr>
          <w:b/>
          <w:i w:val="0"/>
        </w:rPr>
        <w:t>.</w:t>
      </w:r>
      <w:r w:rsidR="00BB693D">
        <w:rPr>
          <w:b/>
          <w:i w:val="0"/>
        </w:rPr>
        <w:t>6</w:t>
      </w:r>
      <w:r w:rsidR="00A92E91" w:rsidRPr="00A92E91">
        <w:rPr>
          <w:b/>
          <w:i w:val="0"/>
        </w:rPr>
        <w:t>.2.Stanje obveza</w:t>
      </w: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B437A9">
      <w:pPr>
        <w:pStyle w:val="NoSpacing"/>
        <w:rPr>
          <w:i w:val="0"/>
        </w:rPr>
      </w:pPr>
      <w:r>
        <w:rPr>
          <w:i w:val="0"/>
        </w:rPr>
        <w:t>Stanje obveza Općine Posedarje na dan 31.prosinca 20</w:t>
      </w:r>
      <w:r w:rsidR="002C1C79">
        <w:rPr>
          <w:i w:val="0"/>
        </w:rPr>
        <w:t>2</w:t>
      </w:r>
      <w:r w:rsidR="00BA4660">
        <w:rPr>
          <w:i w:val="0"/>
        </w:rPr>
        <w:t>5</w:t>
      </w:r>
      <w:r>
        <w:rPr>
          <w:i w:val="0"/>
        </w:rPr>
        <w:t xml:space="preserve">. godine iznose  </w:t>
      </w:r>
      <w:r w:rsidR="00BA4660">
        <w:rPr>
          <w:i w:val="0"/>
        </w:rPr>
        <w:t>390.108,20</w:t>
      </w:r>
      <w:r w:rsidR="00BB693D">
        <w:rPr>
          <w:i w:val="0"/>
        </w:rPr>
        <w:t xml:space="preserve"> eura</w:t>
      </w:r>
      <w:r w:rsidR="002C1C79">
        <w:rPr>
          <w:i w:val="0"/>
        </w:rPr>
        <w:t xml:space="preserve"> a stanje obveza proračunskog korisnika Dječjeg vrtića Cvrčak Posedarje iznose </w:t>
      </w:r>
      <w:r w:rsidR="00BA4660">
        <w:rPr>
          <w:i w:val="0"/>
        </w:rPr>
        <w:t>31.404,00 e</w:t>
      </w:r>
      <w:r w:rsidR="00BB693D">
        <w:rPr>
          <w:i w:val="0"/>
        </w:rPr>
        <w:t xml:space="preserve">ura. Stanje </w:t>
      </w:r>
      <w:r w:rsidR="00BB693D">
        <w:rPr>
          <w:i w:val="0"/>
        </w:rPr>
        <w:lastRenderedPageBreak/>
        <w:t xml:space="preserve">nedopsijelih obveza Općine Posedarje iznosi </w:t>
      </w:r>
      <w:r w:rsidR="00BA4660">
        <w:rPr>
          <w:i w:val="0"/>
        </w:rPr>
        <w:t>221.531,15</w:t>
      </w:r>
      <w:r w:rsidR="00BB693D">
        <w:rPr>
          <w:i w:val="0"/>
        </w:rPr>
        <w:t xml:space="preserve"> e</w:t>
      </w:r>
      <w:r w:rsidR="00177D75">
        <w:rPr>
          <w:i w:val="0"/>
        </w:rPr>
        <w:t>ura</w:t>
      </w:r>
      <w:r w:rsidR="00BB693D">
        <w:rPr>
          <w:i w:val="0"/>
        </w:rPr>
        <w:t xml:space="preserve"> a stanje nedospijelih obveza PK iznosi </w:t>
      </w:r>
      <w:r w:rsidR="00BA4660">
        <w:rPr>
          <w:i w:val="0"/>
        </w:rPr>
        <w:t>31.404,00</w:t>
      </w:r>
      <w:r w:rsidR="00BB693D">
        <w:rPr>
          <w:i w:val="0"/>
        </w:rPr>
        <w:t xml:space="preserve"> eura. 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50.321,48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58.489,74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416,14</w:t>
            </w:r>
          </w:p>
        </w:tc>
      </w:tr>
      <w:tr w:rsidR="00BA4660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BA4660" w:rsidRDefault="00BA4660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ponoć dane u inozemstvo i unutar općeg proračuna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A4660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5.643,11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862,16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2.309,73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46.575,00</w:t>
            </w:r>
          </w:p>
        </w:tc>
      </w:tr>
      <w:tr w:rsidR="00A92E91" w:rsidTr="002C1C79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193.368,91</w:t>
            </w:r>
          </w:p>
        </w:tc>
      </w:tr>
      <w:tr w:rsidR="00BA4660" w:rsidTr="00785B77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BA4660" w:rsidRDefault="00BA4660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kredite i zajmove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A4660" w:rsidRDefault="00BA4660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0,01</w:t>
            </w:r>
          </w:p>
        </w:tc>
      </w:tr>
      <w:tr w:rsidR="00AD71ED" w:rsidTr="00AD71ED">
        <w:trPr>
          <w:trHeight w:val="238"/>
        </w:trPr>
        <w:tc>
          <w:tcPr>
            <w:tcW w:w="5775" w:type="dxa"/>
            <w:shd w:val="clear" w:color="auto" w:fill="D9D9D9" w:themeFill="background1" w:themeFillShade="D9"/>
          </w:tcPr>
          <w:p w:rsidR="00AD71ED" w:rsidRDefault="00AD71ED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za depozite i jamčevne pologe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D71ED" w:rsidRDefault="00AD71E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24.963,23</w:t>
            </w:r>
          </w:p>
        </w:tc>
      </w:tr>
      <w:tr w:rsidR="00AD71ED" w:rsidTr="00AD71ED">
        <w:trPr>
          <w:trHeight w:val="238"/>
        </w:trPr>
        <w:tc>
          <w:tcPr>
            <w:tcW w:w="5775" w:type="dxa"/>
            <w:shd w:val="clear" w:color="auto" w:fill="D9D9D9" w:themeFill="background1" w:themeFillShade="D9"/>
          </w:tcPr>
          <w:p w:rsidR="00AD71ED" w:rsidRDefault="00AD71ED" w:rsidP="00AD71ED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Obveze proračuna za naplaćena sredstva PK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D71ED" w:rsidRDefault="00AD71E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7.158,69</w:t>
            </w:r>
          </w:p>
        </w:tc>
      </w:tr>
      <w:tr w:rsidR="00AD71ED" w:rsidTr="00AD71ED">
        <w:trPr>
          <w:trHeight w:val="238"/>
        </w:trPr>
        <w:tc>
          <w:tcPr>
            <w:tcW w:w="5775" w:type="dxa"/>
            <w:shd w:val="clear" w:color="auto" w:fill="D9D9D9" w:themeFill="background1" w:themeFillShade="D9"/>
          </w:tcPr>
          <w:p w:rsidR="00AD71ED" w:rsidRDefault="00AD71ED" w:rsidP="00AD71ED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UKUPNO STANJE OBVEZA OPĆINE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D71ED" w:rsidRDefault="00AD71ED" w:rsidP="003771C9">
            <w:pPr>
              <w:pStyle w:val="NoSpacing"/>
              <w:jc w:val="right"/>
              <w:rPr>
                <w:i w:val="0"/>
              </w:rPr>
            </w:pPr>
          </w:p>
        </w:tc>
      </w:tr>
      <w:tr w:rsidR="007A438F" w:rsidTr="00AD71ED">
        <w:trPr>
          <w:trHeight w:val="238"/>
        </w:trPr>
        <w:tc>
          <w:tcPr>
            <w:tcW w:w="5775" w:type="dxa"/>
            <w:shd w:val="clear" w:color="auto" w:fill="D9D9D9" w:themeFill="background1" w:themeFillShade="D9"/>
          </w:tcPr>
          <w:p w:rsidR="00785B77" w:rsidRDefault="007A438F" w:rsidP="003771C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Obv</w:t>
            </w:r>
            <w:r w:rsidR="00BA4660">
              <w:rPr>
                <w:i w:val="0"/>
              </w:rPr>
              <w:t>eze proračuna za naplaćena sredstva PK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7A438F" w:rsidRDefault="00AD71E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31.404,00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A92E91" w:rsidRDefault="00A92E91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85B77" w:rsidRDefault="00785B77" w:rsidP="00954CC4">
      <w:pPr>
        <w:pStyle w:val="NoSpacing"/>
        <w:jc w:val="both"/>
        <w:rPr>
          <w:i w:val="0"/>
        </w:rPr>
      </w:pPr>
    </w:p>
    <w:p w:rsidR="007A438F" w:rsidRDefault="007A438F" w:rsidP="00954CC4">
      <w:pPr>
        <w:pStyle w:val="NoSpacing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D71ED">
        <w:trPr>
          <w:trHeight w:val="274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D71ED" w:rsidP="00B437A9">
            <w:pPr>
              <w:pStyle w:val="NoSpacing"/>
              <w:jc w:val="both"/>
              <w:rPr>
                <w:i w:val="0"/>
              </w:rPr>
            </w:pPr>
            <w:r>
              <w:rPr>
                <w:i w:val="0"/>
              </w:rPr>
              <w:t>STANJE OBVEZA OPĆINE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AD71ED" w:rsidP="003771C9">
            <w:pPr>
              <w:pStyle w:val="NoSpacing"/>
              <w:jc w:val="right"/>
              <w:rPr>
                <w:i w:val="0"/>
              </w:rPr>
            </w:pPr>
            <w:r>
              <w:rPr>
                <w:i w:val="0"/>
              </w:rPr>
              <w:t>390.108,20</w:t>
            </w:r>
          </w:p>
        </w:tc>
      </w:tr>
    </w:tbl>
    <w:p w:rsidR="00A92E91" w:rsidRDefault="00A92E91" w:rsidP="00954CC4">
      <w:pPr>
        <w:pStyle w:val="NoSpacing"/>
        <w:jc w:val="both"/>
        <w:rPr>
          <w:i w:val="0"/>
        </w:rPr>
      </w:pPr>
    </w:p>
    <w:p w:rsidR="007A438F" w:rsidRDefault="007A438F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D04BBD">
      <w:pPr>
        <w:pStyle w:val="NoSpacing"/>
        <w:jc w:val="both"/>
        <w:rPr>
          <w:b/>
          <w:i w:val="0"/>
        </w:rPr>
      </w:pPr>
      <w:r w:rsidRPr="005F3485">
        <w:rPr>
          <w:i w:val="0"/>
        </w:rPr>
        <w:t xml:space="preserve">U analitici saldaconta postoji analitička evidencija svih </w:t>
      </w:r>
      <w:r>
        <w:rPr>
          <w:i w:val="0"/>
        </w:rPr>
        <w:t>obveza po pojedinom dobavljaču.</w:t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D04BBD" w:rsidRDefault="00D04BBD" w:rsidP="00954CC4">
      <w:pPr>
        <w:pStyle w:val="NoSpacing"/>
        <w:jc w:val="both"/>
        <w:rPr>
          <w:i w:val="0"/>
        </w:rPr>
      </w:pPr>
    </w:p>
    <w:p w:rsidR="00B437A9" w:rsidRDefault="00D04BBD" w:rsidP="00954CC4">
      <w:pPr>
        <w:pStyle w:val="NoSpacing"/>
        <w:jc w:val="both"/>
        <w:rPr>
          <w:b/>
          <w:i w:val="0"/>
        </w:rPr>
      </w:pPr>
      <w:r>
        <w:rPr>
          <w:b/>
          <w:i w:val="0"/>
        </w:rPr>
        <w:t>6</w:t>
      </w:r>
      <w:r w:rsidR="00B437A9" w:rsidRPr="00B437A9">
        <w:rPr>
          <w:b/>
          <w:i w:val="0"/>
        </w:rPr>
        <w:t>.4.3 Stanje potencijalnih obveza po osnovi sudskih sporova</w:t>
      </w:r>
    </w:p>
    <w:p w:rsidR="00125F41" w:rsidRDefault="00177D75" w:rsidP="00177D75">
      <w:pPr>
        <w:pStyle w:val="NoSpacing"/>
        <w:jc w:val="both"/>
        <w:rPr>
          <w:i w:val="0"/>
        </w:rPr>
      </w:pPr>
      <w:r w:rsidRPr="00177D75">
        <w:rPr>
          <w:rFonts w:cstheme="minorHAnsi"/>
          <w:i w:val="0"/>
        </w:rPr>
        <w:t>Na izvanbilančnim zapisima nalazi se ukupna vrijednost potencijalnih obveza po sudskim sporovima</w:t>
      </w:r>
      <w:r>
        <w:rPr>
          <w:rFonts w:cstheme="minorHAnsi"/>
          <w:i w:val="0"/>
        </w:rPr>
        <w:t xml:space="preserve"> koji mogu postati potencijalna obveza.</w:t>
      </w:r>
      <w:r w:rsidRPr="00177D75">
        <w:rPr>
          <w:rFonts w:cstheme="minorHAnsi"/>
          <w:i w:val="0"/>
        </w:rPr>
        <w:t xml:space="preserve">. </w:t>
      </w:r>
    </w:p>
    <w:p w:rsidR="00177D75" w:rsidRDefault="00177D75" w:rsidP="00177D75">
      <w:pPr>
        <w:pStyle w:val="NoSpacing"/>
      </w:pPr>
      <w:r>
        <w:tab/>
      </w:r>
    </w:p>
    <w:p w:rsidR="00AD71ED" w:rsidRDefault="00AD71ED" w:rsidP="00AD71ED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5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AD71ED" w:rsidRDefault="00AD71ED" w:rsidP="00AD71ED">
      <w:pPr>
        <w:rPr>
          <w:b/>
          <w:sz w:val="24"/>
          <w:szCs w:val="24"/>
        </w:rPr>
      </w:pPr>
    </w:p>
    <w:p w:rsidR="00AD71ED" w:rsidRPr="004434CB" w:rsidRDefault="00AD71ED" w:rsidP="00AD71ED">
      <w:pPr>
        <w:shd w:val="clear" w:color="auto" w:fill="D9D9D9" w:themeFill="background1" w:themeFillShade="D9"/>
        <w:rPr>
          <w:sz w:val="24"/>
          <w:szCs w:val="24"/>
        </w:rPr>
      </w:pPr>
      <w:r w:rsidRPr="004434CB">
        <w:rPr>
          <w:sz w:val="24"/>
          <w:szCs w:val="24"/>
        </w:rPr>
        <w:t>Sudski sporovi u tijeku koji mogu postati obveza Općine Posedarje</w:t>
      </w:r>
    </w:p>
    <w:p w:rsidR="00AD71ED" w:rsidRDefault="00AD71ED" w:rsidP="00AD71ED">
      <w:pPr>
        <w:jc w:val="both"/>
        <w:rPr>
          <w:sz w:val="24"/>
          <w:szCs w:val="24"/>
        </w:rPr>
      </w:pPr>
      <w:r w:rsidRPr="004434CB">
        <w:rPr>
          <w:sz w:val="24"/>
          <w:szCs w:val="24"/>
        </w:rPr>
        <w:t>Poslovni broj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Tuženik</w:t>
      </w:r>
      <w:r w:rsidRPr="004434CB">
        <w:rPr>
          <w:sz w:val="24"/>
          <w:szCs w:val="24"/>
        </w:rPr>
        <w:tab/>
      </w:r>
      <w:r w:rsidRPr="004434CB">
        <w:rPr>
          <w:sz w:val="24"/>
          <w:szCs w:val="24"/>
        </w:rPr>
        <w:tab/>
        <w:t>Tužitelj</w:t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34CB">
        <w:rPr>
          <w:sz w:val="24"/>
          <w:szCs w:val="24"/>
        </w:rPr>
        <w:t>Vrijednost spora</w:t>
      </w:r>
    </w:p>
    <w:p w:rsidR="00AD71ED" w:rsidRDefault="00AD71ED" w:rsidP="00AD71ED">
      <w:pPr>
        <w:jc w:val="both"/>
        <w:rPr>
          <w:sz w:val="24"/>
          <w:szCs w:val="24"/>
        </w:rPr>
      </w:pPr>
      <w:r>
        <w:rPr>
          <w:sz w:val="24"/>
          <w:szCs w:val="24"/>
        </w:rPr>
        <w:t>Izvansudska nagodba</w:t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Colas Hrvatska Varaždin</w:t>
      </w:r>
      <w:r>
        <w:rPr>
          <w:sz w:val="24"/>
          <w:szCs w:val="24"/>
        </w:rPr>
        <w:tab/>
        <w:t>272.988,62</w:t>
      </w:r>
    </w:p>
    <w:p w:rsidR="00DC5006" w:rsidRDefault="00AD71ED" w:rsidP="00DC5006">
      <w:pPr>
        <w:jc w:val="both"/>
        <w:rPr>
          <w:sz w:val="24"/>
          <w:szCs w:val="24"/>
        </w:rPr>
      </w:pPr>
      <w:r>
        <w:rPr>
          <w:sz w:val="24"/>
          <w:szCs w:val="24"/>
        </w:rPr>
        <w:t>P-32/2022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Općina Posedarje</w:t>
      </w:r>
      <w:r>
        <w:rPr>
          <w:sz w:val="24"/>
          <w:szCs w:val="24"/>
        </w:rPr>
        <w:tab/>
        <w:t>Davor Demo Posedarje</w:t>
      </w:r>
      <w:r>
        <w:rPr>
          <w:sz w:val="24"/>
          <w:szCs w:val="24"/>
        </w:rPr>
        <w:tab/>
        <w:t>15.990,68</w:t>
      </w:r>
    </w:p>
    <w:p w:rsidR="00B437A9" w:rsidRDefault="00B437A9" w:rsidP="00954CC4">
      <w:pPr>
        <w:pStyle w:val="NoSpacing"/>
        <w:jc w:val="both"/>
        <w:rPr>
          <w:i w:val="0"/>
        </w:rPr>
      </w:pPr>
    </w:p>
    <w:p w:rsidR="00CB046C" w:rsidRDefault="00CB046C" w:rsidP="00954CC4">
      <w:pPr>
        <w:pStyle w:val="NoSpacing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A46313" w:rsidRDefault="00A46313" w:rsidP="00954CC4">
      <w:pPr>
        <w:pStyle w:val="NoSpacing"/>
        <w:jc w:val="both"/>
        <w:rPr>
          <w:b/>
          <w:i w:val="0"/>
        </w:rPr>
      </w:pPr>
    </w:p>
    <w:p w:rsidR="00B437A9" w:rsidRPr="00B437A9" w:rsidRDefault="00B437A9" w:rsidP="00954CC4">
      <w:pPr>
        <w:pStyle w:val="NoSpacing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270"/>
    <w:multiLevelType w:val="hybridMultilevel"/>
    <w:tmpl w:val="389C4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35E"/>
    <w:multiLevelType w:val="hybridMultilevel"/>
    <w:tmpl w:val="20280D5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0496A41"/>
    <w:multiLevelType w:val="hybridMultilevel"/>
    <w:tmpl w:val="F99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9A4"/>
    <w:multiLevelType w:val="hybridMultilevel"/>
    <w:tmpl w:val="9C2CD4CC"/>
    <w:lvl w:ilvl="0" w:tplc="AC8E6838">
      <w:start w:val="4"/>
      <w:numFmt w:val="bullet"/>
      <w:lvlText w:val="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54759"/>
    <w:multiLevelType w:val="hybridMultilevel"/>
    <w:tmpl w:val="EC10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2F05"/>
    <w:multiLevelType w:val="multilevel"/>
    <w:tmpl w:val="1B3E7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A357CC"/>
    <w:multiLevelType w:val="hybridMultilevel"/>
    <w:tmpl w:val="FCD6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866"/>
    <w:multiLevelType w:val="hybridMultilevel"/>
    <w:tmpl w:val="4B1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357C"/>
    <w:multiLevelType w:val="hybridMultilevel"/>
    <w:tmpl w:val="2312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2432F"/>
    <w:multiLevelType w:val="multilevel"/>
    <w:tmpl w:val="66C88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37067"/>
    <w:multiLevelType w:val="hybridMultilevel"/>
    <w:tmpl w:val="802C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6530E"/>
    <w:multiLevelType w:val="hybridMultilevel"/>
    <w:tmpl w:val="F632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F68E0"/>
    <w:multiLevelType w:val="hybridMultilevel"/>
    <w:tmpl w:val="2B26B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526485"/>
    <w:multiLevelType w:val="hybridMultilevel"/>
    <w:tmpl w:val="3FDAF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F1774"/>
    <w:multiLevelType w:val="hybridMultilevel"/>
    <w:tmpl w:val="F25C3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7"/>
  </w:num>
  <w:num w:numId="5">
    <w:abstractNumId w:val="19"/>
  </w:num>
  <w:num w:numId="6">
    <w:abstractNumId w:val="24"/>
  </w:num>
  <w:num w:numId="7">
    <w:abstractNumId w:val="21"/>
  </w:num>
  <w:num w:numId="8">
    <w:abstractNumId w:val="12"/>
  </w:num>
  <w:num w:numId="9">
    <w:abstractNumId w:val="22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7"/>
  </w:num>
  <w:num w:numId="14">
    <w:abstractNumId w:val="23"/>
  </w:num>
  <w:num w:numId="15">
    <w:abstractNumId w:val="5"/>
  </w:num>
  <w:num w:numId="16">
    <w:abstractNumId w:val="9"/>
  </w:num>
  <w:num w:numId="17">
    <w:abstractNumId w:val="26"/>
  </w:num>
  <w:num w:numId="18">
    <w:abstractNumId w:val="7"/>
  </w:num>
  <w:num w:numId="19">
    <w:abstractNumId w:val="20"/>
  </w:num>
  <w:num w:numId="20">
    <w:abstractNumId w:val="11"/>
  </w:num>
  <w:num w:numId="21">
    <w:abstractNumId w:val="14"/>
  </w:num>
  <w:num w:numId="22">
    <w:abstractNumId w:val="10"/>
  </w:num>
  <w:num w:numId="23">
    <w:abstractNumId w:val="6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0DB6"/>
    <w:rsid w:val="00001F91"/>
    <w:rsid w:val="00004DCB"/>
    <w:rsid w:val="00020733"/>
    <w:rsid w:val="00023044"/>
    <w:rsid w:val="00036412"/>
    <w:rsid w:val="00040EB1"/>
    <w:rsid w:val="00045CD6"/>
    <w:rsid w:val="00056FBF"/>
    <w:rsid w:val="00061070"/>
    <w:rsid w:val="00061918"/>
    <w:rsid w:val="00081CE4"/>
    <w:rsid w:val="00090B6F"/>
    <w:rsid w:val="0009477E"/>
    <w:rsid w:val="000A1B5C"/>
    <w:rsid w:val="000A6BFE"/>
    <w:rsid w:val="000B2144"/>
    <w:rsid w:val="000B343D"/>
    <w:rsid w:val="000B386E"/>
    <w:rsid w:val="000B7148"/>
    <w:rsid w:val="000C09CE"/>
    <w:rsid w:val="000C1393"/>
    <w:rsid w:val="000C2713"/>
    <w:rsid w:val="000C67FE"/>
    <w:rsid w:val="000C7E19"/>
    <w:rsid w:val="000C7E6D"/>
    <w:rsid w:val="000D737E"/>
    <w:rsid w:val="000E74C1"/>
    <w:rsid w:val="00124D27"/>
    <w:rsid w:val="00125AFA"/>
    <w:rsid w:val="00125F41"/>
    <w:rsid w:val="00135759"/>
    <w:rsid w:val="00135CC4"/>
    <w:rsid w:val="001458F5"/>
    <w:rsid w:val="001460C7"/>
    <w:rsid w:val="00151DEE"/>
    <w:rsid w:val="001545BC"/>
    <w:rsid w:val="00163360"/>
    <w:rsid w:val="001673E6"/>
    <w:rsid w:val="00177D75"/>
    <w:rsid w:val="00182BBB"/>
    <w:rsid w:val="00187C9D"/>
    <w:rsid w:val="00196F70"/>
    <w:rsid w:val="001B261D"/>
    <w:rsid w:val="001B72B9"/>
    <w:rsid w:val="001C1616"/>
    <w:rsid w:val="001E6A21"/>
    <w:rsid w:val="00201BC5"/>
    <w:rsid w:val="00206B0D"/>
    <w:rsid w:val="0021210D"/>
    <w:rsid w:val="00217EF8"/>
    <w:rsid w:val="00226FD3"/>
    <w:rsid w:val="0023421A"/>
    <w:rsid w:val="00235BB1"/>
    <w:rsid w:val="002431CA"/>
    <w:rsid w:val="00245F14"/>
    <w:rsid w:val="00254F4B"/>
    <w:rsid w:val="00256A0F"/>
    <w:rsid w:val="002A61EC"/>
    <w:rsid w:val="002A6E99"/>
    <w:rsid w:val="002C1C79"/>
    <w:rsid w:val="002E0B7E"/>
    <w:rsid w:val="002E2D53"/>
    <w:rsid w:val="002E386F"/>
    <w:rsid w:val="002E41EE"/>
    <w:rsid w:val="002E53C1"/>
    <w:rsid w:val="002F30EA"/>
    <w:rsid w:val="003107A7"/>
    <w:rsid w:val="003129E3"/>
    <w:rsid w:val="00320C98"/>
    <w:rsid w:val="00321DB4"/>
    <w:rsid w:val="00324669"/>
    <w:rsid w:val="00333C5B"/>
    <w:rsid w:val="00335710"/>
    <w:rsid w:val="00340BCB"/>
    <w:rsid w:val="00341F23"/>
    <w:rsid w:val="0035316F"/>
    <w:rsid w:val="003609E1"/>
    <w:rsid w:val="003640DB"/>
    <w:rsid w:val="00373638"/>
    <w:rsid w:val="00376B41"/>
    <w:rsid w:val="003771C9"/>
    <w:rsid w:val="0037728F"/>
    <w:rsid w:val="00377FCE"/>
    <w:rsid w:val="00387E58"/>
    <w:rsid w:val="00391B0C"/>
    <w:rsid w:val="00392EB4"/>
    <w:rsid w:val="003A3154"/>
    <w:rsid w:val="003A6622"/>
    <w:rsid w:val="003B1995"/>
    <w:rsid w:val="003B530B"/>
    <w:rsid w:val="003B726B"/>
    <w:rsid w:val="003D08E9"/>
    <w:rsid w:val="003D13CD"/>
    <w:rsid w:val="003D772E"/>
    <w:rsid w:val="003E20CA"/>
    <w:rsid w:val="003E7B44"/>
    <w:rsid w:val="003F60F6"/>
    <w:rsid w:val="004205F6"/>
    <w:rsid w:val="0043235A"/>
    <w:rsid w:val="004323E0"/>
    <w:rsid w:val="0044556C"/>
    <w:rsid w:val="00450BE7"/>
    <w:rsid w:val="00453883"/>
    <w:rsid w:val="0045438B"/>
    <w:rsid w:val="004547FB"/>
    <w:rsid w:val="00472324"/>
    <w:rsid w:val="00486A61"/>
    <w:rsid w:val="00496455"/>
    <w:rsid w:val="004977D4"/>
    <w:rsid w:val="004A3EE8"/>
    <w:rsid w:val="004A406A"/>
    <w:rsid w:val="004A4B7E"/>
    <w:rsid w:val="004C2BD8"/>
    <w:rsid w:val="004C76D8"/>
    <w:rsid w:val="004C7CB8"/>
    <w:rsid w:val="004D52B1"/>
    <w:rsid w:val="004D5D9E"/>
    <w:rsid w:val="004E6274"/>
    <w:rsid w:val="004F17F5"/>
    <w:rsid w:val="004F56B6"/>
    <w:rsid w:val="004F67F5"/>
    <w:rsid w:val="005012CB"/>
    <w:rsid w:val="00502C15"/>
    <w:rsid w:val="00512E50"/>
    <w:rsid w:val="00514735"/>
    <w:rsid w:val="0052643A"/>
    <w:rsid w:val="00526E64"/>
    <w:rsid w:val="00546044"/>
    <w:rsid w:val="0055057E"/>
    <w:rsid w:val="00563E37"/>
    <w:rsid w:val="00571CAC"/>
    <w:rsid w:val="0058378A"/>
    <w:rsid w:val="00590900"/>
    <w:rsid w:val="00590B00"/>
    <w:rsid w:val="005A2101"/>
    <w:rsid w:val="005A29C0"/>
    <w:rsid w:val="005A44FC"/>
    <w:rsid w:val="005A6F26"/>
    <w:rsid w:val="005B5B18"/>
    <w:rsid w:val="005D0F3D"/>
    <w:rsid w:val="005D1A1D"/>
    <w:rsid w:val="005D4CA6"/>
    <w:rsid w:val="005E0C0F"/>
    <w:rsid w:val="005E2EF5"/>
    <w:rsid w:val="005E3748"/>
    <w:rsid w:val="005F3485"/>
    <w:rsid w:val="005F6DB0"/>
    <w:rsid w:val="00611F78"/>
    <w:rsid w:val="00617B71"/>
    <w:rsid w:val="006644B1"/>
    <w:rsid w:val="006732F4"/>
    <w:rsid w:val="00673D69"/>
    <w:rsid w:val="00681589"/>
    <w:rsid w:val="006877CA"/>
    <w:rsid w:val="00690235"/>
    <w:rsid w:val="00697C7B"/>
    <w:rsid w:val="006A0128"/>
    <w:rsid w:val="006A070E"/>
    <w:rsid w:val="006B5F70"/>
    <w:rsid w:val="006C06DF"/>
    <w:rsid w:val="006C28F8"/>
    <w:rsid w:val="006C7F5F"/>
    <w:rsid w:val="006D5281"/>
    <w:rsid w:val="006E2420"/>
    <w:rsid w:val="006F2F6D"/>
    <w:rsid w:val="006F4638"/>
    <w:rsid w:val="006F7BDE"/>
    <w:rsid w:val="00716E1E"/>
    <w:rsid w:val="00730296"/>
    <w:rsid w:val="007327FF"/>
    <w:rsid w:val="00735F15"/>
    <w:rsid w:val="007366CC"/>
    <w:rsid w:val="007463AD"/>
    <w:rsid w:val="00746554"/>
    <w:rsid w:val="00747FA2"/>
    <w:rsid w:val="0075093C"/>
    <w:rsid w:val="007542D9"/>
    <w:rsid w:val="007727DC"/>
    <w:rsid w:val="00774327"/>
    <w:rsid w:val="00785B77"/>
    <w:rsid w:val="00793C8E"/>
    <w:rsid w:val="007A438F"/>
    <w:rsid w:val="007A74D7"/>
    <w:rsid w:val="007C6361"/>
    <w:rsid w:val="007D1905"/>
    <w:rsid w:val="007D5D4E"/>
    <w:rsid w:val="007E1E90"/>
    <w:rsid w:val="007E22B5"/>
    <w:rsid w:val="007E30F5"/>
    <w:rsid w:val="007F77B8"/>
    <w:rsid w:val="00810A8B"/>
    <w:rsid w:val="00815F4E"/>
    <w:rsid w:val="00836991"/>
    <w:rsid w:val="00837AA7"/>
    <w:rsid w:val="0085136D"/>
    <w:rsid w:val="00851D88"/>
    <w:rsid w:val="00852623"/>
    <w:rsid w:val="00854FE2"/>
    <w:rsid w:val="00856721"/>
    <w:rsid w:val="00856FE1"/>
    <w:rsid w:val="008740F6"/>
    <w:rsid w:val="00887005"/>
    <w:rsid w:val="00895895"/>
    <w:rsid w:val="008A64A1"/>
    <w:rsid w:val="008B658E"/>
    <w:rsid w:val="008C132E"/>
    <w:rsid w:val="008C3ED7"/>
    <w:rsid w:val="008C3F13"/>
    <w:rsid w:val="008C497E"/>
    <w:rsid w:val="008C5709"/>
    <w:rsid w:val="008D4676"/>
    <w:rsid w:val="008D4BE5"/>
    <w:rsid w:val="008D6F65"/>
    <w:rsid w:val="008F0B18"/>
    <w:rsid w:val="008F317A"/>
    <w:rsid w:val="009001FA"/>
    <w:rsid w:val="009043A6"/>
    <w:rsid w:val="009137B5"/>
    <w:rsid w:val="00914EB4"/>
    <w:rsid w:val="00947D7D"/>
    <w:rsid w:val="00951156"/>
    <w:rsid w:val="00954CC4"/>
    <w:rsid w:val="00967BA2"/>
    <w:rsid w:val="0097241B"/>
    <w:rsid w:val="00991843"/>
    <w:rsid w:val="009A41A4"/>
    <w:rsid w:val="009A4921"/>
    <w:rsid w:val="009A5DA5"/>
    <w:rsid w:val="009A6903"/>
    <w:rsid w:val="009B03BB"/>
    <w:rsid w:val="009B5830"/>
    <w:rsid w:val="009B749A"/>
    <w:rsid w:val="009D38D3"/>
    <w:rsid w:val="009D3903"/>
    <w:rsid w:val="009D7B59"/>
    <w:rsid w:val="009E7446"/>
    <w:rsid w:val="009F2C5F"/>
    <w:rsid w:val="00A04FD0"/>
    <w:rsid w:val="00A07D0D"/>
    <w:rsid w:val="00A10340"/>
    <w:rsid w:val="00A204CE"/>
    <w:rsid w:val="00A20F3D"/>
    <w:rsid w:val="00A21CAE"/>
    <w:rsid w:val="00A311BE"/>
    <w:rsid w:val="00A31C41"/>
    <w:rsid w:val="00A3547C"/>
    <w:rsid w:val="00A4129C"/>
    <w:rsid w:val="00A427EB"/>
    <w:rsid w:val="00A42925"/>
    <w:rsid w:val="00A450AF"/>
    <w:rsid w:val="00A46313"/>
    <w:rsid w:val="00A508D1"/>
    <w:rsid w:val="00A509B4"/>
    <w:rsid w:val="00A5269E"/>
    <w:rsid w:val="00A66660"/>
    <w:rsid w:val="00A67A45"/>
    <w:rsid w:val="00A71820"/>
    <w:rsid w:val="00A77FAB"/>
    <w:rsid w:val="00A82C1E"/>
    <w:rsid w:val="00A8794B"/>
    <w:rsid w:val="00A92434"/>
    <w:rsid w:val="00A92E91"/>
    <w:rsid w:val="00AB631A"/>
    <w:rsid w:val="00AB6D0D"/>
    <w:rsid w:val="00AC338A"/>
    <w:rsid w:val="00AC4CD7"/>
    <w:rsid w:val="00AC4F1B"/>
    <w:rsid w:val="00AD4AF7"/>
    <w:rsid w:val="00AD53DC"/>
    <w:rsid w:val="00AD5718"/>
    <w:rsid w:val="00AD69BF"/>
    <w:rsid w:val="00AD71ED"/>
    <w:rsid w:val="00AE3222"/>
    <w:rsid w:val="00AE43C7"/>
    <w:rsid w:val="00AF01FE"/>
    <w:rsid w:val="00AF58F1"/>
    <w:rsid w:val="00B10C29"/>
    <w:rsid w:val="00B1261E"/>
    <w:rsid w:val="00B13296"/>
    <w:rsid w:val="00B159C9"/>
    <w:rsid w:val="00B26625"/>
    <w:rsid w:val="00B31DB9"/>
    <w:rsid w:val="00B437A9"/>
    <w:rsid w:val="00B52BA9"/>
    <w:rsid w:val="00B547EC"/>
    <w:rsid w:val="00B56D04"/>
    <w:rsid w:val="00B67545"/>
    <w:rsid w:val="00B72C85"/>
    <w:rsid w:val="00B81BF3"/>
    <w:rsid w:val="00B87638"/>
    <w:rsid w:val="00B97314"/>
    <w:rsid w:val="00BA1C3C"/>
    <w:rsid w:val="00BA4660"/>
    <w:rsid w:val="00BB693D"/>
    <w:rsid w:val="00BC69F6"/>
    <w:rsid w:val="00BD0B04"/>
    <w:rsid w:val="00BD182D"/>
    <w:rsid w:val="00BD31C5"/>
    <w:rsid w:val="00BD665A"/>
    <w:rsid w:val="00BD70D4"/>
    <w:rsid w:val="00BF48F3"/>
    <w:rsid w:val="00BF5321"/>
    <w:rsid w:val="00BF58EF"/>
    <w:rsid w:val="00BF6AD7"/>
    <w:rsid w:val="00C029D3"/>
    <w:rsid w:val="00C04425"/>
    <w:rsid w:val="00C05437"/>
    <w:rsid w:val="00C12992"/>
    <w:rsid w:val="00C15E84"/>
    <w:rsid w:val="00C31045"/>
    <w:rsid w:val="00C337AF"/>
    <w:rsid w:val="00C35885"/>
    <w:rsid w:val="00C45586"/>
    <w:rsid w:val="00C53CDE"/>
    <w:rsid w:val="00C828EE"/>
    <w:rsid w:val="00C8508A"/>
    <w:rsid w:val="00C87667"/>
    <w:rsid w:val="00CB046C"/>
    <w:rsid w:val="00CB6347"/>
    <w:rsid w:val="00CC0AB9"/>
    <w:rsid w:val="00CC1302"/>
    <w:rsid w:val="00CD066F"/>
    <w:rsid w:val="00CE1AB8"/>
    <w:rsid w:val="00CE2F92"/>
    <w:rsid w:val="00CE7F21"/>
    <w:rsid w:val="00CF106A"/>
    <w:rsid w:val="00D04BBD"/>
    <w:rsid w:val="00D2504F"/>
    <w:rsid w:val="00D3121F"/>
    <w:rsid w:val="00D41D7E"/>
    <w:rsid w:val="00D45B4C"/>
    <w:rsid w:val="00D63971"/>
    <w:rsid w:val="00D64A25"/>
    <w:rsid w:val="00D74D30"/>
    <w:rsid w:val="00D76212"/>
    <w:rsid w:val="00D76D03"/>
    <w:rsid w:val="00D85C15"/>
    <w:rsid w:val="00D87331"/>
    <w:rsid w:val="00DB0658"/>
    <w:rsid w:val="00DB448B"/>
    <w:rsid w:val="00DC0512"/>
    <w:rsid w:val="00DC1704"/>
    <w:rsid w:val="00DC5006"/>
    <w:rsid w:val="00DC6313"/>
    <w:rsid w:val="00DD0ED6"/>
    <w:rsid w:val="00DD1170"/>
    <w:rsid w:val="00DD4A14"/>
    <w:rsid w:val="00DD6708"/>
    <w:rsid w:val="00DE04AA"/>
    <w:rsid w:val="00DE42EB"/>
    <w:rsid w:val="00DF16FF"/>
    <w:rsid w:val="00E07261"/>
    <w:rsid w:val="00E07687"/>
    <w:rsid w:val="00E137C6"/>
    <w:rsid w:val="00E24B71"/>
    <w:rsid w:val="00E309CE"/>
    <w:rsid w:val="00E30F75"/>
    <w:rsid w:val="00E3527B"/>
    <w:rsid w:val="00E641CF"/>
    <w:rsid w:val="00E65154"/>
    <w:rsid w:val="00E723CA"/>
    <w:rsid w:val="00EA0B08"/>
    <w:rsid w:val="00EB2B37"/>
    <w:rsid w:val="00EC1582"/>
    <w:rsid w:val="00EC5635"/>
    <w:rsid w:val="00ED7E86"/>
    <w:rsid w:val="00EE6842"/>
    <w:rsid w:val="00EE68BD"/>
    <w:rsid w:val="00EF054B"/>
    <w:rsid w:val="00EF1CB9"/>
    <w:rsid w:val="00F0492B"/>
    <w:rsid w:val="00F322D9"/>
    <w:rsid w:val="00F35769"/>
    <w:rsid w:val="00F35E9C"/>
    <w:rsid w:val="00F36B82"/>
    <w:rsid w:val="00F43C0B"/>
    <w:rsid w:val="00F525BA"/>
    <w:rsid w:val="00F714B0"/>
    <w:rsid w:val="00F7164E"/>
    <w:rsid w:val="00F720E1"/>
    <w:rsid w:val="00F86CA7"/>
    <w:rsid w:val="00F95ACE"/>
    <w:rsid w:val="00F961B6"/>
    <w:rsid w:val="00FA3C2F"/>
    <w:rsid w:val="00FD37E9"/>
    <w:rsid w:val="00FD4A4D"/>
    <w:rsid w:val="00FD7B20"/>
    <w:rsid w:val="00FE1F7E"/>
    <w:rsid w:val="00FE2B6D"/>
    <w:rsid w:val="00FE673D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7D62"/>
  <w15:docId w15:val="{B4D53C33-5CCC-44A8-BD2B-D4F452D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paragraph" w:styleId="Heading1">
    <w:name w:val="heading 1"/>
    <w:basedOn w:val="Normal"/>
    <w:next w:val="Normal"/>
    <w:link w:val="Heading1Char"/>
    <w:qFormat/>
    <w:rsid w:val="00A77F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TableGrid">
    <w:name w:val="Table Grid"/>
    <w:basedOn w:val="TableNormal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961B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Reetkatablice1">
    <w:name w:val="Rešetka tablice1"/>
    <w:basedOn w:val="TableNormal"/>
    <w:next w:val="TableGrid"/>
    <w:uiPriority w:val="39"/>
    <w:rsid w:val="00001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3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124D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9B03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1B2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rsid w:val="00341F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C029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9918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9B7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rsid w:val="009B74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1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29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5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35B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35E9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7FAB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1660-25D1-4C4C-B856-F4F9CE8B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9612</Words>
  <Characters>54792</Characters>
  <Application>Microsoft Office Word</Application>
  <DocSecurity>0</DocSecurity>
  <Lines>456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2</cp:revision>
  <cp:lastPrinted>2019-05-20T07:30:00Z</cp:lastPrinted>
  <dcterms:created xsi:type="dcterms:W3CDTF">2026-05-20T10:50:00Z</dcterms:created>
  <dcterms:modified xsi:type="dcterms:W3CDTF">2026-05-20T10:50:00Z</dcterms:modified>
</cp:coreProperties>
</file>