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53" w:rsidRPr="0056703E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>ZVJEŠTAJ O ZADUŽENJU I DANIM JAMSTVIMA PRORAČUNA</w:t>
      </w:r>
    </w:p>
    <w:p w:rsidR="002E2D53" w:rsidRPr="0056703E" w:rsidRDefault="002E2D53" w:rsidP="002E2D53">
      <w:pPr>
        <w:pStyle w:val="Bezproreda"/>
        <w:rPr>
          <w:i w:val="0"/>
        </w:rPr>
      </w:pP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Zaduživanje i davanje jamstava jedinica lokalne i područne (regionalne) samouprave uređuju  odredbe članaka 86. do 92. u okviru razdjela VII. Zakona o proračunu („Narodne novine,“ broj 87/08, 136/12), te odredbe članka 11. Odluke o izvršavanju proračuna Općine Posedarje za  2017. godinu („Službeni glasnik Općine Posedarje “, broj  3).</w:t>
      </w: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 2017. godini Općinsko vijeće nije dalo jamstvo, niti se općina zaduživala. </w:t>
      </w:r>
    </w:p>
    <w:p w:rsidR="002E2D53" w:rsidRDefault="002E2D53" w:rsidP="002E2D53">
      <w:pPr>
        <w:pStyle w:val="Bezproreda"/>
        <w:rPr>
          <w:i w:val="0"/>
        </w:rPr>
      </w:pPr>
    </w:p>
    <w:p w:rsidR="002E2D53" w:rsidRDefault="002E2D53" w:rsidP="002E2D53">
      <w:pPr>
        <w:pStyle w:val="Bezproreda"/>
        <w:rPr>
          <w:b/>
          <w:i w:val="0"/>
        </w:rPr>
      </w:pPr>
      <w:r w:rsidRPr="002E2D53">
        <w:rPr>
          <w:b/>
          <w:i w:val="0"/>
        </w:rPr>
        <w:t>4. IZVJEŠTAJ O KORIŠTENJU PRORAČUNSKE ZALIHE</w:t>
      </w:r>
    </w:p>
    <w:p w:rsidR="002E2D53" w:rsidRDefault="002E2D53" w:rsidP="002E2D53">
      <w:pPr>
        <w:pStyle w:val="Bezproreda"/>
        <w:rPr>
          <w:b/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2E2D53" w:rsidP="002E2D53">
      <w:pPr>
        <w:pStyle w:val="Bezproreda"/>
        <w:jc w:val="both"/>
        <w:rPr>
          <w:b/>
          <w:i w:val="0"/>
        </w:rPr>
      </w:pPr>
      <w:r w:rsidRPr="002E2D53">
        <w:rPr>
          <w:b/>
          <w:i w:val="0"/>
        </w:rPr>
        <w:t>5.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EB2B37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>
        <w:rPr>
          <w:i/>
          <w:szCs w:val="24"/>
        </w:rPr>
        <w:t>6</w:t>
      </w:r>
      <w:r w:rsidRPr="00944E56">
        <w:rPr>
          <w:i/>
          <w:szCs w:val="24"/>
        </w:rPr>
        <w:t>. i  201</w:t>
      </w:r>
      <w:r>
        <w:rPr>
          <w:i/>
          <w:szCs w:val="24"/>
        </w:rPr>
        <w:t>7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B2B3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B2B3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B2B3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16/15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4.595.760,58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4.731.650,00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4.123.28</w:t>
            </w:r>
            <w:r w:rsidR="008D4BE5">
              <w:rPr>
                <w:rFonts w:ascii="Arial" w:hAnsi="Arial" w:cs="Arial"/>
                <w:sz w:val="18"/>
                <w:szCs w:val="18"/>
              </w:rPr>
              <w:t>2,89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87,14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8A64A1">
              <w:rPr>
                <w:rFonts w:ascii="Arial" w:hAnsi="Arial" w:cs="Arial"/>
                <w:sz w:val="18"/>
                <w:szCs w:val="18"/>
              </w:rPr>
              <w:t>817.526.00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3.198.250,00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3.545.189</w:t>
            </w:r>
            <w:r w:rsidR="008D4BE5">
              <w:rPr>
                <w:rFonts w:ascii="Arial" w:hAnsi="Arial" w:cs="Arial"/>
                <w:sz w:val="18"/>
                <w:szCs w:val="18"/>
              </w:rPr>
              <w:t>,21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A64A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125,83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110,85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A64A1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299.316,22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255.718</w:t>
            </w:r>
            <w:r w:rsidR="008D4BE5">
              <w:rPr>
                <w:rFonts w:ascii="Arial" w:hAnsi="Arial" w:cs="Arial"/>
                <w:sz w:val="18"/>
                <w:szCs w:val="18"/>
              </w:rPr>
              <w:t>,68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85,4</w:t>
            </w:r>
            <w:r w:rsidR="008A64A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69,83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8A64A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2.652.227,96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3.054.900,00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2.581.76</w:t>
            </w:r>
            <w:r w:rsidR="005A29C0">
              <w:rPr>
                <w:rFonts w:ascii="Arial" w:hAnsi="Arial" w:cs="Arial"/>
                <w:sz w:val="18"/>
                <w:szCs w:val="18"/>
              </w:rPr>
              <w:t>2</w:t>
            </w:r>
            <w:r w:rsidR="008D4BE5">
              <w:rPr>
                <w:rFonts w:ascii="Arial" w:hAnsi="Arial" w:cs="Arial"/>
                <w:sz w:val="18"/>
                <w:szCs w:val="18"/>
              </w:rPr>
              <w:t>,92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8A64A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84,51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133.453,66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111.43</w:t>
            </w:r>
            <w:r w:rsidR="008D4BE5">
              <w:rPr>
                <w:rFonts w:ascii="Arial" w:hAnsi="Arial" w:cs="Arial"/>
                <w:sz w:val="18"/>
                <w:szCs w:val="18"/>
              </w:rPr>
              <w:t>1,74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123,81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239.764,00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358.000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149,31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29,96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521.354,30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8A64A1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11.259.402,72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12.636.000,00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5A29C0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10.983.53</w:t>
            </w:r>
            <w:r w:rsidR="008D4BE5">
              <w:rPr>
                <w:rFonts w:ascii="Arial" w:hAnsi="Arial" w:cs="Arial"/>
                <w:b/>
                <w:bCs/>
                <w:sz w:val="18"/>
                <w:szCs w:val="18"/>
              </w:rPr>
              <w:t>5,44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8A64A1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97,55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A0B0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86,92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9A6903" w:rsidP="007E22B5">
      <w:pPr>
        <w:pStyle w:val="Bezproreda"/>
        <w:jc w:val="both"/>
        <w:rPr>
          <w:b/>
          <w:i w:val="0"/>
        </w:rPr>
      </w:pPr>
      <w:r w:rsidRPr="009A6903">
        <w:rPr>
          <w:b/>
          <w:i w:val="0"/>
        </w:rPr>
        <w:t>5.1.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2017.g. ostvareni su u iznosu od 10.983.535,44 kune. Prihodi poslovanja ostvareni su u iznosu od 10.625.535,44 kune a prihodi od prodaje nefinancijske imovine ostvareni su u iznosu od 358.000,00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 u iznosu od </w:t>
      </w:r>
      <w:r w:rsidRPr="007E22B5">
        <w:rPr>
          <w:i w:val="0"/>
        </w:rPr>
        <w:t>10.983.535,44</w:t>
      </w:r>
      <w:r w:rsidRPr="007E22B5">
        <w:rPr>
          <w:rFonts w:ascii="Calibri" w:eastAsia="Times New Roman" w:hAnsi="Calibri" w:cs="Times New Roman"/>
          <w:i w:val="0"/>
        </w:rPr>
        <w:t xml:space="preserve"> kuna namjenski prihodi Dječjeg vrtića Cvrčak Posedarje iznose </w:t>
      </w:r>
      <w:r w:rsidRPr="007E22B5">
        <w:rPr>
          <w:i w:val="0"/>
        </w:rPr>
        <w:t>498.151,00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A6903" w:rsidRPr="007E22B5" w:rsidRDefault="009A6903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5.1.1. Prihodi poslovanja</w:t>
      </w:r>
      <w:r w:rsidR="00D3121F" w:rsidRPr="007E22B5">
        <w:rPr>
          <w:b/>
          <w:i w:val="0"/>
        </w:rPr>
        <w:t xml:space="preserve"> (grupa 61)</w:t>
      </w:r>
    </w:p>
    <w:p w:rsidR="004A406A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Prihodi poslovanja ostvareni su u iznosu od 10.625.535,44 kune što je 92,87% </w:t>
      </w:r>
      <w:r w:rsidR="004A406A" w:rsidRPr="007E22B5">
        <w:rPr>
          <w:i w:val="0"/>
        </w:rPr>
        <w:t xml:space="preserve">u odnosu na planirani iznos 2017.g. od 11.441.000,00 kune. Najveći udio u prihodima poslovanja  ostvaruju prihodi od poreza  koji su ostvareni u iznosu od 4.123.282,89 kuna što je 87,14% u odnosu na planiranih 4.731.650,00 kuna. Prihode od poreza  sačinjavaju prihodi od poreza i prireza na dohodak koji je ostvaren u iznosu od 2.893.326,00 kuna, porez na imovinu ostvaren u iznosu od 1.124.947,43 kune te porez na robe i usluge ostvaren u iznosu od 105.009,46 kune  </w:t>
      </w:r>
      <w:r w:rsidRPr="007E22B5">
        <w:rPr>
          <w:rFonts w:ascii="Calibri" w:eastAsia="Times New Roman" w:hAnsi="Calibri" w:cs="Times New Roman"/>
          <w:i w:val="0"/>
        </w:rPr>
        <w:t xml:space="preserve"> </w:t>
      </w:r>
      <w:r w:rsidR="004A406A" w:rsidRPr="007E22B5">
        <w:rPr>
          <w:i w:val="0"/>
        </w:rPr>
        <w:t>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F2C5F" w:rsidRPr="007E22B5" w:rsidRDefault="004A406A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Pomoći iz inozemstva i od subjekata unutar opće države</w:t>
      </w:r>
      <w:r w:rsidR="00D3121F" w:rsidRPr="007E22B5">
        <w:rPr>
          <w:b/>
          <w:i w:val="0"/>
        </w:rPr>
        <w:t xml:space="preserve"> (grupa 63)</w:t>
      </w:r>
      <w:r w:rsidRPr="007E22B5">
        <w:rPr>
          <w:b/>
          <w:i w:val="0"/>
        </w:rPr>
        <w:t xml:space="preserve"> </w:t>
      </w:r>
      <w:r w:rsidRPr="007E22B5">
        <w:rPr>
          <w:i w:val="0"/>
        </w:rPr>
        <w:t>ostvarene su u iznosu od 3.545.189,21 kune od planiranih 3.198.250,00 kuna što je 110,85%.</w:t>
      </w:r>
      <w:r w:rsidR="00A509B4" w:rsidRPr="007E22B5">
        <w:rPr>
          <w:i w:val="0"/>
        </w:rPr>
        <w:t xml:space="preserve"> Prihode od pomoći i iz proračuna ostvarene u iznosu od </w:t>
      </w:r>
      <w:r w:rsidR="003B1995" w:rsidRPr="007E22B5">
        <w:rPr>
          <w:i w:val="0"/>
        </w:rPr>
        <w:t>3.310.163,21, pomoći proračunskim korisnicima iz proračuna koji im nije nadležan u iznosu od 148.776,00 kune te pomoći iz proračuna temeljem prijenosa EU sredstava u iznosu od 86.250,00 kuna.</w:t>
      </w:r>
      <w:r w:rsidR="00A509B4" w:rsidRPr="007E22B5">
        <w:rPr>
          <w:i w:val="0"/>
        </w:rPr>
        <w:t xml:space="preserve"> </w:t>
      </w:r>
      <w:r w:rsidR="007E30F5" w:rsidRPr="007E22B5">
        <w:rPr>
          <w:i w:val="0"/>
        </w:rPr>
        <w:t xml:space="preserve"> Tijekom 2017. godine iz državnog proračuna, a s pozicija Ministarstva financija, isplaćivale su se pomoći jedinicama lokalne i područne (regionalne) samouprave kao kompenzacijska mjera za fiskalne učinke izmjena u sustavu poreza na dohodak, i to u visini razlike između prihoda od poreza na dohodak koji su ostvarivali tijekom 2016. godine i prihoda od poreza na dohodak koji će ostvarivati tijekom 2017. godine.  Te kompenzacijske mjere ostvarene su u iznosu od 670.101,16 kuna. Tekuće pomoći iz državnog proračuna ostvarene su u iznosu od </w:t>
      </w:r>
      <w:r w:rsidR="00D3121F" w:rsidRPr="007E22B5">
        <w:rPr>
          <w:i w:val="0"/>
        </w:rPr>
        <w:t>2.086.709,00</w:t>
      </w:r>
      <w:r w:rsidR="00182BBB" w:rsidRPr="007E22B5">
        <w:rPr>
          <w:i w:val="0"/>
        </w:rPr>
        <w:t xml:space="preserve"> kune</w:t>
      </w:r>
      <w:r w:rsidR="007E30F5" w:rsidRPr="007E22B5">
        <w:rPr>
          <w:i w:val="0"/>
        </w:rPr>
        <w:t xml:space="preserve"> ,</w:t>
      </w:r>
      <w:r w:rsidR="00182BBB" w:rsidRPr="007E22B5">
        <w:rPr>
          <w:i w:val="0"/>
        </w:rPr>
        <w:t>tekuća pomoć iz županijskog proračuna ostvarena je u iznosu od 70.000,00 kuna te tekuće pomoći iz državnog proračuna  kao pomoć za ublažavanje posljedica od eleme</w:t>
      </w:r>
      <w:r w:rsidR="003B1995" w:rsidRPr="007E22B5">
        <w:rPr>
          <w:i w:val="0"/>
        </w:rPr>
        <w:t>ntarne nepogode u iznosu od 46.962,00 kune. K</w:t>
      </w:r>
      <w:r w:rsidR="007E30F5" w:rsidRPr="007E22B5">
        <w:rPr>
          <w:i w:val="0"/>
        </w:rPr>
        <w:t xml:space="preserve">apitalne pomoći iz </w:t>
      </w:r>
      <w:r w:rsidR="00182BBB" w:rsidRPr="007E22B5">
        <w:rPr>
          <w:i w:val="0"/>
        </w:rPr>
        <w:t>proračuna ostvarene</w:t>
      </w:r>
      <w:r w:rsidR="003B1995" w:rsidRPr="007E22B5">
        <w:rPr>
          <w:i w:val="0"/>
        </w:rPr>
        <w:t xml:space="preserve"> su u iznosu od 436.391,05 kuna i to od Ministarstva regionalnog razvoja i fondova EU u iznosu od 84.391,05 kuna te od Ministarstva graditeljstva i prostornog uređenja u iznosu od 352.000,00 kune. </w:t>
      </w:r>
      <w:r w:rsidR="009F2C5F"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="009F2C5F"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2.640,00 kuna dobivena od Ministarstva znanosti i obrazovanja za financiranje predškolskog odgoja</w:t>
      </w:r>
      <w:r w:rsidR="009F2C5F" w:rsidRPr="007E22B5">
        <w:rPr>
          <w:i w:val="0"/>
        </w:rPr>
        <w:t xml:space="preserve">  te pomoć proračunskom korisniku Dječjem vrtiću „Cvrčak Posedarje“ iz proračuna Općine Jasenice u iznosu od 146.136,00 kuna za djecu s područja Općine Jasenice koja pohađaju navedeni vrtić.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3121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>ostvareni su u iznosu od 255.718,68 kuna što je 69,83% od planiranih 366.200,00 kune. Te prihode čine prihodi od financijske imovine ostvareni u iznosu od 182,40 kuna a odnose se na prihode od depozita po viđenju te prihodi od nefinancijske imovine ostvareni u iznosu od 255.536,28 kuna što je 70,75% u odnosu na planiranih 361.200,00 kuna.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>prihodi od naknada za koncesije ostvareni u iznosu od 1.600,00 kuna, prihodi od zakupa i iznajmljivanja imovine ostvarene u iznosu od 64.848,00 kune</w:t>
      </w:r>
      <w:r w:rsidR="00D76212" w:rsidRPr="007E22B5">
        <w:rPr>
          <w:i w:val="0"/>
        </w:rPr>
        <w:t>, naknada za korištenje nefinancijske imovine u iznosu od 53.297,04 kune te prihodi od nefinancijske imovine u iznosu od 135.791,24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76212" w:rsidRPr="007E22B5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2.581.762,92 kune što je 84,51% od planiranih 3.054.900,00 kuna. Navedene prihode čine upravne i administrativne pristojbe u iznosu od 75.926,40 kuna, prihodi po posebnim propisima u iznosu od 873.656,59 kuna. Te prihode čine prihodi vodnog gospodarstva (vodni doprinos) ostvaren u iznosu od 13.747,86 kune, doprinos za šume ostvaren u iznosu od 27,95 </w:t>
      </w:r>
      <w:r w:rsidRPr="007E22B5">
        <w:rPr>
          <w:i w:val="0"/>
        </w:rPr>
        <w:lastRenderedPageBreak/>
        <w:t xml:space="preserve">kuna te ostali nespomenuti prihodi koji su ostvareni u iznosu od 859.880,78 kuna a čine ih prihodi od sufinanciranja mještana za potrošak vode na hidrantima u mjestima </w:t>
      </w:r>
      <w:r w:rsidR="009F2C5F" w:rsidRPr="007E22B5">
        <w:rPr>
          <w:i w:val="0"/>
        </w:rPr>
        <w:t>koji nemaju vodovode priključke u iznosu od 400.005,57 kuna, prihodi od sufinanciranja katastarske izmjere u iznosu od 6.500,00 kuna, prihod od 6% naplaćene vode za financiranje komunalne vodovodne infrastrukture u iznosu od 94.490,31 kune , ostali prihodi za posebne namjene u iznosu od 25.310,71 kuna te sufinanciranje roditelja za boravak djece u Dječjem vrtiću „Cvrčak Posedarje“ u iznosu od 347.350,00 kuna.</w:t>
      </w:r>
      <w:r w:rsidR="00EB2B37" w:rsidRPr="007E22B5">
        <w:rPr>
          <w:i w:val="0"/>
        </w:rPr>
        <w:t xml:space="preserve"> Komunalni doprinos i naknada ostvareni su u iznosu od 1.632.179,93 kune što je 73,43% od planiranih 2.222.800,00 kuna.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EB2B37" w:rsidRPr="007E22B5" w:rsidRDefault="00EB2B37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Prihodi od prodaje proizvoda, robe i usluga, donacije (grupa 66) </w:t>
      </w:r>
      <w:r w:rsidRPr="007E22B5">
        <w:rPr>
          <w:i w:val="0"/>
        </w:rPr>
        <w:t>ostvareni su u iznosu od 8.150,00 kuna a odnose se na 2 donacije trgovačkih društava.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EB2B37" w:rsidRDefault="00EB2B37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Kazne, upravne mjere i ostali prihodi (grupa 68) </w:t>
      </w:r>
      <w:r w:rsidRPr="007E22B5">
        <w:rPr>
          <w:i w:val="0"/>
        </w:rPr>
        <w:t>ostvareni su u iznosu od 111.431,74 što je 123,81% od planiranih 90.000,00 kuna.</w:t>
      </w:r>
    </w:p>
    <w:p w:rsidR="0044556C" w:rsidRDefault="0044556C" w:rsidP="007E22B5">
      <w:pPr>
        <w:pStyle w:val="Bezproreda"/>
        <w:jc w:val="both"/>
        <w:rPr>
          <w:i w:val="0"/>
        </w:rPr>
      </w:pPr>
    </w:p>
    <w:p w:rsidR="0044556C" w:rsidRPr="007E22B5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>) ostvareni su u iznosu od 358.000,00 kuna što je znatno ispod planiranih 1.195.000,00 kuna. Navedeni prihodi odnose se na potraživanje od prodaje poljoprivrednog zemljišta. Navedena potraživanja su utužena i prihod se očekuje u narednom razdoblju.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004DCB" w:rsidRPr="007E22B5" w:rsidRDefault="00004DCB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 Rashodi i izdaci</w:t>
      </w:r>
    </w:p>
    <w:p w:rsidR="00004DC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rashodi i izdaci u razdoblju od 01.siječnja  do 31.12.2017.g. iznose 10.723.429,20 kuna</w:t>
      </w:r>
      <w:r w:rsidR="007E22B5" w:rsidRPr="007E22B5">
        <w:rPr>
          <w:i w:val="0"/>
        </w:rPr>
        <w:t xml:space="preserve">  i indeks izvršenja u odnosu na planirani proračun 2017. godine  u iznosu od 12.133.000,00 kuna je 88,38%.</w:t>
      </w:r>
      <w:r w:rsidR="007E22B5">
        <w:rPr>
          <w:i w:val="0"/>
        </w:rPr>
        <w:t xml:space="preserve"> Rashodi  poslovanja  iznose 8.887.819,51 kune re rashodi za nabavu nefinancijske imovine iznose 1.835.609,69 kuna.</w:t>
      </w:r>
    </w:p>
    <w:p w:rsidR="0097241B" w:rsidRDefault="0097241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>
        <w:rPr>
          <w:i/>
          <w:szCs w:val="24"/>
        </w:rPr>
        <w:t>6</w:t>
      </w:r>
      <w:r w:rsidRPr="00944E56">
        <w:rPr>
          <w:i/>
          <w:szCs w:val="24"/>
        </w:rPr>
        <w:t>. i  201</w:t>
      </w:r>
      <w:r>
        <w:rPr>
          <w:i/>
          <w:szCs w:val="24"/>
        </w:rPr>
        <w:t>7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97241B" w:rsidRPr="007C5DF9" w:rsidTr="0094507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16/15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2.311.097,75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2.655.699,00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2.577.399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97,05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24669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4.497.090,48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4.656.497,00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4.793.140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24669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106,57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102,93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24669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72.129,01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96.677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24669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134,03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200,16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0,56</w:t>
            </w: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države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  <w:r w:rsidR="00324669">
              <w:rPr>
                <w:rFonts w:ascii="Arial" w:hAnsi="Arial" w:cs="Arial"/>
                <w:sz w:val="18"/>
                <w:szCs w:val="18"/>
              </w:rPr>
              <w:t>.766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734.254,00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800.735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148,</w:t>
            </w:r>
            <w:r w:rsidR="00324669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109,05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24669">
              <w:rPr>
                <w:rFonts w:ascii="Arial" w:hAnsi="Arial" w:cs="Arial"/>
                <w:sz w:val="18"/>
                <w:szCs w:val="18"/>
              </w:rPr>
              <w:t>24.050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639.050,00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618.14</w:t>
            </w:r>
            <w:r w:rsidR="004323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24669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96,73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1.382.179,39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649.633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78,65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707.812,42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1.185.97</w:t>
            </w:r>
            <w:r w:rsidR="004323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167,56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2466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10.136.125,05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12.133.000,00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3235A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10.723.424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88,38</w:t>
            </w:r>
          </w:p>
        </w:tc>
      </w:tr>
      <w:tr w:rsidR="00EE6842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Default="0097241B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>Rashodi i izdaci proračunskog korisnika DV Cvrčak Posedarje ostvareni su u iznosu od 1.232.226,00kuna i to izdaci koji se financiraju iz proračuna Općine Posedarje u iznosu od 734.343,00 kune te rashodi financirani vlastitim sredstvima iz proračuna DV u iznosu od 497.883,00 kune.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Pr="007E22B5" w:rsidRDefault="007E22B5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>Rashodi poslovanja ostvareni su u iznosu od 8.887.81</w:t>
      </w:r>
      <w:r w:rsidR="0044556C">
        <w:rPr>
          <w:i w:val="0"/>
        </w:rPr>
        <w:t>4,21</w:t>
      </w:r>
      <w:r>
        <w:rPr>
          <w:i w:val="0"/>
        </w:rPr>
        <w:t xml:space="preserve"> kunu ili 98,28% od planiranih </w:t>
      </w:r>
      <w:r w:rsidR="0023421A">
        <w:rPr>
          <w:i w:val="0"/>
        </w:rPr>
        <w:t>9.043.800,00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>ostvareni su u iznosu od 2.577.399,65 kune što je 97,05 od plana. U te rashode uključene su bruto plaće zaposlenih djelatnika u JUO-u  i djelatnika zaposlenih  u DV Cvrčak Posedarje, ostali rashodi za zaposlene i doprinosi na plaće.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>iznose 4.793.1</w:t>
      </w:r>
      <w:r w:rsidR="008D4BE5">
        <w:rPr>
          <w:i w:val="0"/>
        </w:rPr>
        <w:t>35,43</w:t>
      </w:r>
      <w:r>
        <w:rPr>
          <w:i w:val="0"/>
        </w:rPr>
        <w:t xml:space="preserve"> kune a planirani su u iznosu od 4.656.497,00 kuna i čine najznačajniju stavku među rashodima proračuna. Ovi rashodi obuhvaćaju naknade troškova zaposlenima u iznosu od 108.008,95, rashodi za materijal i energiju u iznosu od 1.385.</w:t>
      </w:r>
      <w:r w:rsidR="008D4BE5">
        <w:rPr>
          <w:i w:val="0"/>
        </w:rPr>
        <w:t>888,61</w:t>
      </w:r>
      <w:r>
        <w:rPr>
          <w:i w:val="0"/>
        </w:rPr>
        <w:t xml:space="preserve">1 kunu a odnose se na rashode za uredski materijal, </w:t>
      </w:r>
      <w:r w:rsidR="00254F4B">
        <w:rPr>
          <w:i w:val="0"/>
        </w:rPr>
        <w:t>materijal i sirovine, energiju,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>shodi za usluge  iznose 2.718.295,81 kune. Navedene rashode čine rashodi za usluge pošte i telefona, usluge tekućeg i investicijskog održavanja, usluge promidžbe i informiranja,komunalne usluge, zakupnina i najamnina,zdravstvene i veterinarske usluge,intelektualne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>Ostali nespomenuti rashodi poslovanja iznose 580.942,06 kuna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>ostvareni su u iznosu od 96.677,25 kuna  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6C7F5F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 1.725,28 kuna a odnose se na pomoć Centru za gospodarenje otpadom Biljane Donje.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>ostvareni su u iznosu od 800.735,25 kuna što je 109,05% u odnosu na planiranih 734.254,00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2017.g. iznose 618.141,35 kuna i indeks ostvarenja u odnosu na planirani iznos 2017.g. je 96,73%.</w:t>
      </w:r>
      <w:r>
        <w:rPr>
          <w:i w:val="0"/>
        </w:rPr>
        <w:t xml:space="preserve">.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b/>
          <w:i w:val="0"/>
        </w:rPr>
      </w:pPr>
      <w:r w:rsidRPr="00FD37E9">
        <w:rPr>
          <w:b/>
          <w:i w:val="0"/>
        </w:rPr>
        <w:t xml:space="preserve">5.2.2. </w:t>
      </w:r>
      <w:r>
        <w:rPr>
          <w:b/>
          <w:i w:val="0"/>
        </w:rPr>
        <w:t>R</w:t>
      </w:r>
      <w:r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1.835.609,69 kuna ili 96,73% od planiranih 3.089.200,00 kuna. </w:t>
      </w:r>
    </w:p>
    <w:p w:rsidR="00FD37E9" w:rsidRDefault="0097241B" w:rsidP="007E22B5">
      <w:pPr>
        <w:pStyle w:val="Bezproreda"/>
        <w:jc w:val="both"/>
        <w:rPr>
          <w:i w:val="0"/>
        </w:rPr>
      </w:pPr>
      <w:r>
        <w:rPr>
          <w:i w:val="0"/>
        </w:rPr>
        <w:t>Rashode za nabavu nefinancijske imovine čine rashodi za nabavu nematerijalne imovine u iznosu od 649.633,41 kune. Rashode za nabavu proizvedene dugotrajne imovine u iznosu od 1.185.976,28 kuna čine rashodi za građevinske objekte u iznosu od 918.805,48 kuna, rashodi za postrojenja i opremu u iznosu od 112.553,20 kuna te rashodi za prijevozna sredstva u iznosu od 27.000,00 kuna.</w:t>
      </w:r>
    </w:p>
    <w:p w:rsidR="0097241B" w:rsidRPr="00FD37E9" w:rsidRDefault="0097241B" w:rsidP="007E22B5">
      <w:pPr>
        <w:pStyle w:val="Bezproreda"/>
        <w:jc w:val="both"/>
        <w:rPr>
          <w:i w:val="0"/>
        </w:rPr>
      </w:pPr>
    </w:p>
    <w:p w:rsidR="006C7F5F" w:rsidRPr="006C7F5F" w:rsidRDefault="006C7F5F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</w:p>
    <w:p w:rsidR="00D3121F" w:rsidRPr="007E22B5" w:rsidRDefault="00D3121F" w:rsidP="007E22B5">
      <w:pPr>
        <w:pStyle w:val="Bezproreda"/>
        <w:jc w:val="both"/>
        <w:rPr>
          <w:i w:val="0"/>
        </w:rPr>
      </w:pPr>
    </w:p>
    <w:p w:rsidR="00A509B4" w:rsidRPr="007E22B5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9A6903" w:rsidRDefault="00EE6842" w:rsidP="007E22B5">
      <w:pPr>
        <w:pStyle w:val="Bezproreda"/>
        <w:jc w:val="both"/>
        <w:rPr>
          <w:b/>
          <w:i w:val="0"/>
        </w:rPr>
      </w:pPr>
      <w:r w:rsidRPr="00EE6842">
        <w:rPr>
          <w:b/>
          <w:i w:val="0"/>
        </w:rPr>
        <w:t>5.3.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284"/>
        <w:gridCol w:w="1376"/>
        <w:gridCol w:w="1134"/>
        <w:gridCol w:w="1654"/>
        <w:gridCol w:w="2186"/>
        <w:gridCol w:w="1654"/>
      </w:tblGrid>
      <w:tr w:rsidR="0043235A" w:rsidTr="0094507E">
        <w:tc>
          <w:tcPr>
            <w:tcW w:w="128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37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PRIMICI</w:t>
            </w:r>
          </w:p>
        </w:tc>
        <w:tc>
          <w:tcPr>
            <w:tcW w:w="113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65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218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65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94507E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376" w:type="dxa"/>
          </w:tcPr>
          <w:p w:rsidR="0043235A" w:rsidRPr="00126370" w:rsidRDefault="00954CC4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10.485.383</w:t>
            </w:r>
          </w:p>
        </w:tc>
        <w:tc>
          <w:tcPr>
            <w:tcW w:w="1134" w:type="dxa"/>
          </w:tcPr>
          <w:p w:rsidR="0043235A" w:rsidRPr="00126370" w:rsidRDefault="00954CC4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10.225.541</w:t>
            </w:r>
          </w:p>
        </w:tc>
        <w:tc>
          <w:tcPr>
            <w:tcW w:w="1654" w:type="dxa"/>
          </w:tcPr>
          <w:p w:rsidR="0043235A" w:rsidRPr="00126370" w:rsidRDefault="0043235A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259.84</w:t>
            </w:r>
            <w:r w:rsidR="00954CC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-2.370.415</w:t>
            </w:r>
          </w:p>
        </w:tc>
        <w:tc>
          <w:tcPr>
            <w:tcW w:w="1654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-2.110.573</w:t>
            </w:r>
          </w:p>
        </w:tc>
      </w:tr>
      <w:tr w:rsidR="0043235A" w:rsidRPr="00126370" w:rsidTr="0094507E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376" w:type="dxa"/>
          </w:tcPr>
          <w:p w:rsidR="0043235A" w:rsidRPr="00126370" w:rsidRDefault="00954CC4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498.151</w:t>
            </w:r>
          </w:p>
        </w:tc>
        <w:tc>
          <w:tcPr>
            <w:tcW w:w="1134" w:type="dxa"/>
          </w:tcPr>
          <w:p w:rsidR="0043235A" w:rsidRPr="00126370" w:rsidRDefault="00954CC4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497.883</w:t>
            </w:r>
          </w:p>
        </w:tc>
        <w:tc>
          <w:tcPr>
            <w:tcW w:w="1654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2186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9.420</w:t>
            </w:r>
          </w:p>
        </w:tc>
        <w:tc>
          <w:tcPr>
            <w:tcW w:w="1654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9.688</w:t>
            </w:r>
          </w:p>
        </w:tc>
      </w:tr>
      <w:tr w:rsidR="0043235A" w:rsidRPr="00126370" w:rsidTr="0094507E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376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10.983.534</w:t>
            </w:r>
          </w:p>
        </w:tc>
        <w:tc>
          <w:tcPr>
            <w:tcW w:w="113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10.723.424</w:t>
            </w:r>
          </w:p>
        </w:tc>
        <w:tc>
          <w:tcPr>
            <w:tcW w:w="1654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260.110</w:t>
            </w:r>
          </w:p>
        </w:tc>
        <w:tc>
          <w:tcPr>
            <w:tcW w:w="2186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-2.360.995</w:t>
            </w:r>
          </w:p>
        </w:tc>
        <w:tc>
          <w:tcPr>
            <w:tcW w:w="1654" w:type="dxa"/>
          </w:tcPr>
          <w:p w:rsidR="0043235A" w:rsidRPr="00126370" w:rsidRDefault="0043235A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-2.100.885</w:t>
            </w: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Općina Posedarje je u 2017. godini ostvarila ukupne prihode u iznosu od </w:t>
      </w:r>
      <w:r w:rsidR="00954CC4">
        <w:rPr>
          <w:i w:val="0"/>
        </w:rPr>
        <w:t>10.485.383</w:t>
      </w:r>
      <w:r>
        <w:rPr>
          <w:i w:val="0"/>
        </w:rPr>
        <w:t xml:space="preserve">. kuna, ukupni rashodi za 2017.godinu iznosili su </w:t>
      </w:r>
      <w:r w:rsidR="00954CC4">
        <w:rPr>
          <w:i w:val="0"/>
        </w:rPr>
        <w:t>10.225.541</w:t>
      </w:r>
      <w:r>
        <w:rPr>
          <w:i w:val="0"/>
        </w:rPr>
        <w:t>. kuna . Rezultat poslovanja 2017 godine je ostvareni višak prihoda poslovanja u iznosu od 259.842 kune. Međutim, s obzirom na preneseni manjak iz prethodnih godina  koji iznosi 2.370.415 kuna  u slijedeće razdoblje prenosi se proračunski manjak u iznosu od 2.110.573 kune.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Dječji vrtić Cvrčak Posedarje u 2017. godini ostvario je</w:t>
      </w:r>
      <w:r w:rsidR="00954CC4">
        <w:rPr>
          <w:i w:val="0"/>
        </w:rPr>
        <w:t xml:space="preserve"> 498.151 kuna namjenskih prihoda i primitaka, te 497.883 kune rashoda i izdataka financiranih tim istim prihodima. Financijski rezultat Dv Cvrčak Posedarje je ostvareni višak prihoda poslovanja u iznosu od 268 kuna.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954CC4" w:rsidRPr="004F56B6" w:rsidRDefault="00954CC4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t>5.4. Potraživanja i obveze</w:t>
      </w:r>
    </w:p>
    <w:p w:rsidR="00954CC4" w:rsidRDefault="00954CC4" w:rsidP="00954CC4">
      <w:pPr>
        <w:pStyle w:val="Bezproreda"/>
        <w:jc w:val="both"/>
        <w:rPr>
          <w:i w:val="0"/>
        </w:rPr>
      </w:pPr>
      <w:r>
        <w:rPr>
          <w:i w:val="0"/>
        </w:rPr>
        <w:t>Sukladno Pravilniku o izmjenama i dopunama Pravilnika o polugodišnjem i godišnjem izvršenju proračuna Obrazloženje ostvarivanja prihoda i primitaka, rashoda i izdataka sadrži i :</w:t>
      </w:r>
    </w:p>
    <w:p w:rsidR="00954CC4" w:rsidRPr="004F56B6" w:rsidRDefault="00954CC4" w:rsidP="00954CC4">
      <w:pPr>
        <w:pStyle w:val="Bezproreda"/>
        <w:jc w:val="both"/>
      </w:pPr>
      <w:r w:rsidRPr="004F56B6">
        <w:t xml:space="preserve">-stanje nenaplaćenih </w:t>
      </w:r>
      <w:r w:rsidR="004F56B6" w:rsidRPr="004F56B6">
        <w:t>potraživanja za prihode jedinica lokalne i područne (regionalne) samouprave i njihovih proračunskih korisnika,</w:t>
      </w:r>
    </w:p>
    <w:p w:rsidR="004F56B6" w:rsidRPr="004F56B6" w:rsidRDefault="004F56B6" w:rsidP="00954CC4">
      <w:pPr>
        <w:pStyle w:val="Bezproreda"/>
        <w:jc w:val="both"/>
      </w:pPr>
      <w:r w:rsidRPr="004F56B6">
        <w:t>-stanje nepodmirenih dospjelih obveza jedinica lokalne i područne (regionalne) samouprave i njihovih proračunskih korisnika</w:t>
      </w:r>
    </w:p>
    <w:p w:rsidR="004F56B6" w:rsidRPr="004F56B6" w:rsidRDefault="004F56B6" w:rsidP="00954CC4">
      <w:pPr>
        <w:pStyle w:val="Bezproreda"/>
        <w:jc w:val="both"/>
      </w:pPr>
      <w:r w:rsidRPr="004F56B6">
        <w:t>- stanje potencijalnih obveza po osnovi sudskih sporova jedinica lokalne i područne (regionalne) samouprave i njihovih proračunskih korisnika.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4F56B6" w:rsidRPr="004F56B6" w:rsidRDefault="004F56B6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t>5.4.1. Stanje nenaplaćenih potraživanja</w:t>
      </w:r>
    </w:p>
    <w:p w:rsidR="004F56B6" w:rsidRDefault="004F56B6" w:rsidP="00954CC4">
      <w:pPr>
        <w:pStyle w:val="Bezproreda"/>
        <w:jc w:val="both"/>
        <w:rPr>
          <w:i w:val="0"/>
        </w:rPr>
      </w:pPr>
      <w:r>
        <w:rPr>
          <w:i w:val="0"/>
        </w:rPr>
        <w:t>Ukupna potraživanja Općine Posedarje na dan 31.12.2017. godine iznose 9.735.925 kuna. Stanje nenaplaćenih potraživanja proračunskog korisnika DV Cvrčak Posedarje iznose 50.370 kuna.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8"/>
        <w:gridCol w:w="2535"/>
      </w:tblGrid>
      <w:tr w:rsidR="00E723CA" w:rsidTr="00E723CA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Bezproreda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jc w:val="right"/>
            </w:pPr>
            <w:r w:rsidRPr="00E723CA">
              <w:t>88.005,64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porez na tvrtku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478.494,31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-123.435,78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dane koncesije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145.250,00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101.993,17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naknade za korištenje nefinancijske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230,86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278.486,99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630.278,58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 usluge odvoza smeća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859.952,90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deratizaciju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30.115,03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sufinanciranje dječjeg vrtića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20.155,77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Potraživanje za najam hidranata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20.053,30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katastarsku izmjeru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1.330.850,00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694.327,91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2.199.132,40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135.559,01</w:t>
            </w:r>
          </w:p>
        </w:tc>
      </w:tr>
      <w:tr w:rsidR="00E723CA" w:rsidTr="00E723CA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prodaju poljoprivrednog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2.054.475,20</w:t>
            </w:r>
          </w:p>
        </w:tc>
      </w:tr>
    </w:tbl>
    <w:p w:rsidR="004F56B6" w:rsidRDefault="004F56B6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  <w:gridCol w:w="2535"/>
      </w:tblGrid>
      <w:tr w:rsidR="00A92E91" w:rsidTr="0025297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52.370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Pr="00A92E91" w:rsidRDefault="00A92E91" w:rsidP="00954CC4">
      <w:pPr>
        <w:pStyle w:val="Bezproreda"/>
        <w:jc w:val="both"/>
        <w:rPr>
          <w:b/>
          <w:i w:val="0"/>
        </w:rPr>
      </w:pPr>
      <w:r w:rsidRPr="00A92E91">
        <w:rPr>
          <w:b/>
          <w:i w:val="0"/>
        </w:rPr>
        <w:t>5.4.2.Stanje obveza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B437A9" w:rsidRDefault="00A92E91" w:rsidP="00B437A9">
      <w:pPr>
        <w:pStyle w:val="Bezproreda"/>
        <w:rPr>
          <w:i w:val="0"/>
        </w:rPr>
      </w:pPr>
      <w:r>
        <w:rPr>
          <w:i w:val="0"/>
        </w:rPr>
        <w:t>Stanje obveza Općine Posedarje na dan 31.prosinca 2017. godine iznose  2.979.374,50 kuna od</w:t>
      </w:r>
    </w:p>
    <w:p w:rsidR="00B437A9" w:rsidRDefault="00A92E91" w:rsidP="00B437A9">
      <w:pPr>
        <w:pStyle w:val="Bezproreda"/>
        <w:rPr>
          <w:i w:val="0"/>
        </w:rPr>
      </w:pPr>
      <w:r>
        <w:rPr>
          <w:i w:val="0"/>
        </w:rPr>
        <w:t xml:space="preserve"> čega nedospjele obveze iznose 412.086 kuna. Stanje obveza DV Cvrčak Posedarje iznose </w:t>
      </w:r>
    </w:p>
    <w:p w:rsidR="00A92E91" w:rsidRDefault="00A92E91" w:rsidP="00B437A9">
      <w:pPr>
        <w:pStyle w:val="Bezproreda"/>
        <w:rPr>
          <w:i w:val="0"/>
        </w:rPr>
      </w:pPr>
      <w:r>
        <w:rPr>
          <w:i w:val="0"/>
        </w:rPr>
        <w:t>85.408 kuna.</w:t>
      </w:r>
    </w:p>
    <w:p w:rsidR="00A92E91" w:rsidRDefault="00A92E91" w:rsidP="00B437A9">
      <w:pPr>
        <w:pStyle w:val="Bezproreda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143.654,56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1.167.773,84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7.914,54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27.394,00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851.522,18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610.172,26</w:t>
            </w:r>
          </w:p>
        </w:tc>
      </w:tr>
      <w:tr w:rsidR="00A92E91" w:rsidTr="0025297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170.943,12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  <w:gridCol w:w="2535"/>
      </w:tblGrid>
      <w:tr w:rsidR="00A92E91" w:rsidTr="0025297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85.408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b/>
          <w:i w:val="0"/>
        </w:rPr>
      </w:pPr>
      <w:r w:rsidRPr="00B437A9">
        <w:rPr>
          <w:b/>
          <w:i w:val="0"/>
        </w:rPr>
        <w:t>5.4.3 Stanje potencijalnih obveza po osnovi sudskih sporova</w:t>
      </w:r>
    </w:p>
    <w:p w:rsidR="00B437A9" w:rsidRDefault="00B437A9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obveze za Općinu Posedarje iznose 1.524.721,93 kune i za njih je uspostavljena </w:t>
      </w:r>
      <w:proofErr w:type="spellStart"/>
      <w:r>
        <w:rPr>
          <w:i w:val="0"/>
        </w:rPr>
        <w:t>izvanbilančna</w:t>
      </w:r>
      <w:proofErr w:type="spellEnd"/>
      <w:r>
        <w:rPr>
          <w:i w:val="0"/>
        </w:rPr>
        <w:t xml:space="preserve"> evidencija.</w:t>
      </w:r>
    </w:p>
    <w:p w:rsidR="00B437A9" w:rsidRDefault="00B437A9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TUŽITELJ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PREDMET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VRIJEDNOST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Telekom izdavaštvo Zagreb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P-121/2015-5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9.900,00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Hrvatske autoceste Zagreb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P-1732/2017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214.425,00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Mladen Brala Posedarje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P-2400/2016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148.470,00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Aldo Jurčević Zadar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P-276/2015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CB046C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637.351,93</w:t>
            </w:r>
          </w:p>
        </w:tc>
      </w:tr>
      <w:tr w:rsidR="00CB046C" w:rsidTr="00CB046C">
        <w:tc>
          <w:tcPr>
            <w:tcW w:w="3096" w:type="dxa"/>
            <w:shd w:val="clear" w:color="auto" w:fill="D9D9D9" w:themeFill="background1" w:themeFillShade="D9"/>
          </w:tcPr>
          <w:p w:rsidR="00CB046C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Državni proračun RH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B046C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P-DO-255/2017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B046C" w:rsidRDefault="00CB046C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514.575,00</w:t>
            </w:r>
          </w:p>
        </w:tc>
      </w:tr>
    </w:tbl>
    <w:p w:rsidR="00B437A9" w:rsidRDefault="00B437A9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Pr="00CB046C" w:rsidRDefault="00CB046C" w:rsidP="00954CC4">
      <w:pPr>
        <w:pStyle w:val="Bezproreda"/>
        <w:jc w:val="both"/>
        <w:rPr>
          <w:b/>
          <w:i w:val="0"/>
        </w:rPr>
      </w:pPr>
      <w:r w:rsidRPr="00CB046C">
        <w:rPr>
          <w:b/>
          <w:i w:val="0"/>
        </w:rPr>
        <w:t>5.4.4.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333.617,11 kuna i odnose se na naknade članovima predstavničkog tijela u iznosu od 151.035,71 kunu,  redovite godišnje financiranje političkih stranaka u iznosu od 12.150,00 kuna, obilježavanje proslave Dana općine Posedarje u iznosu od 866,36 kuna te troškovi lokalnih izbora u iznosu od 169.565,04 kune.</w:t>
      </w:r>
    </w:p>
    <w:p w:rsidR="00E24B71" w:rsidRDefault="00E24B71" w:rsidP="00954CC4">
      <w:pPr>
        <w:pStyle w:val="Bezproreda"/>
        <w:jc w:val="both"/>
        <w:rPr>
          <w:i w:val="0"/>
        </w:rPr>
      </w:pP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>
        <w:rPr>
          <w:i w:val="0"/>
        </w:rPr>
        <w:t>3.234.009,82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E24B71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>Izvršna uprava i administracija u iznosu od 2.772.085,43 kune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 xml:space="preserve">(poštarina, telefon, promidžba i informiranje, komunalne usluge, intelektualne i osobne usluge, računalne usluge, premije osiguranja, reprezentacija i ostale usluge) , financijske rashode (bankarske usluge i usluge platnog prometa, zatezne kamate i ostale financijske rashode), </w:t>
      </w:r>
      <w:r w:rsidR="00B72C85">
        <w:rPr>
          <w:i w:val="0"/>
        </w:rPr>
        <w:t xml:space="preserve"> tekuće pomoći udrugama proizašlima iz Domovinskog rata u iznosu od 4.500,00 kuna, nabava opreme (računalna oprema i uredska oprema) u iznosu od 19.84,00 kune, nabava opreme za komunalnu infrastrukturu u iznosu od 84.078,05 kune, naknada za rad načelnika/volonter u iznosu od 11.885,96 kune, troškovi djelatnika za održavanje javnih površina u iznosu od 51.230,05 kune te najam vozila za vlastiti komunalni pogon u iznosu od 30.561,30 kuna.</w:t>
      </w:r>
    </w:p>
    <w:p w:rsidR="00B72C85" w:rsidRDefault="00B72C85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1003 Zaštita od požar</w:t>
      </w:r>
      <w:r>
        <w:rPr>
          <w:b/>
          <w:i w:val="0"/>
        </w:rPr>
        <w:t xml:space="preserve">a i civilna zaštita </w:t>
      </w:r>
      <w:r>
        <w:rPr>
          <w:i w:val="0"/>
        </w:rPr>
        <w:t>izvršen je u iznosu od 115.492,50 kuna a čine ga rashodi za financiranje Dobrovoljnog vatrogasnog društva Posedarje u iznosu od 105.625,00 kuna te troškovi za funkcioniranje Civilne zaštite u iznosu od 9.867,50 kuna.</w:t>
      </w:r>
    </w:p>
    <w:p w:rsidR="00B72C85" w:rsidRDefault="00B72C85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iznosili 256.247,32 kune te troškovi za nabavku opreme u iznosu od 18.166,25 kuna</w:t>
      </w:r>
      <w:r w:rsidR="000C1393">
        <w:rPr>
          <w:i w:val="0"/>
        </w:rPr>
        <w:t>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Pr="000C1393">
        <w:rPr>
          <w:i w:val="0"/>
        </w:rPr>
        <w:t xml:space="preserve">obuhvaća troškove odvoza komunalnog otpada i troškove usluga deratizacije i dezinsekcije u iznosu od 255.903,42 kune i sufinanciranje </w:t>
      </w:r>
      <w:r>
        <w:rPr>
          <w:i w:val="0"/>
        </w:rPr>
        <w:t xml:space="preserve"> CGO Biljane Donje u iznosu od 1.725,28 kuna.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1007 Održavanje komunalne infrastrukture</w:t>
      </w:r>
      <w:r>
        <w:rPr>
          <w:b/>
          <w:i w:val="0"/>
        </w:rPr>
        <w:t xml:space="preserve"> </w:t>
      </w:r>
      <w:r w:rsidRPr="000C1393">
        <w:rPr>
          <w:i w:val="0"/>
        </w:rPr>
        <w:t>ostvaren je u iznosu od 2.313.005,23 kune i obuhvaća  održavanje javnih površina u iznosu od 324.766,36 kune</w:t>
      </w:r>
      <w:r>
        <w:rPr>
          <w:i w:val="0"/>
        </w:rPr>
        <w:t>, održavanje nerazvrstanih cesta (lokalnih putova ) u iznosu od 589.264,46 kune, održavanje javne rasvjete u iznosu od 830.139,30 kuna, opskrba mještana vodom s hidranata u iznosu od 516.364,55 kuna, održavanje plaža u iznosu od 51.570,56 kuna te održavanje groblja u iznosu od 900,00 kuna.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>ostvaren je u iznosu od 1.700.491,07 kuna a obuhvaća troškove oko izgradnje istočnog ulaza u Posedarje u iznosu od 292.867,50 kuna, izgradnja vodovoda u iznosu od 653.584,66 kuna, izgradnja kanalizacijskog sustava u iznosu od 11.380,73 kune, izgradnja dječjih igrališta u iznosu od 17.325,00 kune, rekonstrukcija groblja u iznosu od 6.000,00 kune, izrada urbanističkih planova i projektne dokumentacije u iznosu od 106.250,00 kuna, izgradnja prometnica u iznosu od 591.715,68 kuna te troškovi</w:t>
      </w:r>
      <w:r w:rsidR="00023044">
        <w:rPr>
          <w:i w:val="0"/>
        </w:rPr>
        <w:t xml:space="preserve"> </w:t>
      </w:r>
      <w:r w:rsidRPr="00023044">
        <w:rPr>
          <w:i w:val="0"/>
        </w:rPr>
        <w:t>k</w:t>
      </w:r>
      <w:r w:rsidR="00023044">
        <w:rPr>
          <w:i w:val="0"/>
        </w:rPr>
        <w:t>a</w:t>
      </w:r>
      <w:r w:rsidRPr="00023044">
        <w:rPr>
          <w:i w:val="0"/>
        </w:rPr>
        <w:t>tastarske izmjere u iznosu od 21.367,50 kune.</w:t>
      </w:r>
    </w:p>
    <w:p w:rsidR="00023044" w:rsidRDefault="00023044" w:rsidP="00954CC4">
      <w:pPr>
        <w:pStyle w:val="Bezproreda"/>
        <w:jc w:val="both"/>
        <w:rPr>
          <w:i w:val="0"/>
        </w:rPr>
      </w:pPr>
    </w:p>
    <w:p w:rsidR="00023044" w:rsidRDefault="00023044" w:rsidP="00954CC4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>Program 1009</w:t>
      </w:r>
      <w:r>
        <w:rPr>
          <w:b/>
          <w:i w:val="0"/>
        </w:rPr>
        <w:t xml:space="preserve"> Javne potrebe u kulturi </w:t>
      </w:r>
      <w:r w:rsidRPr="00023044">
        <w:rPr>
          <w:i w:val="0"/>
        </w:rPr>
        <w:t>ostvaren je u iznosu od 139.472,30 kuna a obuhvaća pomoći udrugama</w:t>
      </w:r>
      <w:r w:rsidR="00EF1CB9">
        <w:rPr>
          <w:i w:val="0"/>
        </w:rPr>
        <w:t xml:space="preserve"> i to KUD Sokolovi iz </w:t>
      </w:r>
      <w:proofErr w:type="spellStart"/>
      <w:r w:rsidR="00EF1CB9">
        <w:rPr>
          <w:i w:val="0"/>
        </w:rPr>
        <w:t>Slivnice</w:t>
      </w:r>
      <w:proofErr w:type="spellEnd"/>
      <w:r w:rsidR="00EF1CB9">
        <w:rPr>
          <w:i w:val="0"/>
        </w:rPr>
        <w:t xml:space="preserve"> u iznosu od 5.000,00 kuna, Udruga </w:t>
      </w:r>
      <w:proofErr w:type="spellStart"/>
      <w:r w:rsidR="00EF1CB9">
        <w:rPr>
          <w:i w:val="0"/>
        </w:rPr>
        <w:t>Čelinka</w:t>
      </w:r>
      <w:proofErr w:type="spellEnd"/>
      <w:r w:rsidR="00EF1CB9">
        <w:rPr>
          <w:i w:val="0"/>
        </w:rPr>
        <w:t xml:space="preserve"> iz </w:t>
      </w:r>
      <w:proofErr w:type="spellStart"/>
      <w:r w:rsidR="00EF1CB9">
        <w:rPr>
          <w:i w:val="0"/>
        </w:rPr>
        <w:t>Posedarja</w:t>
      </w:r>
      <w:proofErr w:type="spellEnd"/>
      <w:r w:rsidR="00EF1CB9">
        <w:rPr>
          <w:i w:val="0"/>
        </w:rPr>
        <w:t xml:space="preserve"> u iznosu od 20.000,00 kuna te Udruga Posedarje moje u iznosu od 10.000,00 kuna. Iznos od 14.000,00 </w:t>
      </w:r>
      <w:r w:rsidR="00EF1CB9">
        <w:rPr>
          <w:i w:val="0"/>
        </w:rPr>
        <w:lastRenderedPageBreak/>
        <w:t xml:space="preserve">kuna dodijeljen je Župnom uredu Islam Latinski te troškovi  obnove crkve Svete Marije u </w:t>
      </w:r>
      <w:proofErr w:type="spellStart"/>
      <w:r w:rsidR="00EF1CB9">
        <w:rPr>
          <w:i w:val="0"/>
        </w:rPr>
        <w:t>Posedarju</w:t>
      </w:r>
      <w:proofErr w:type="spellEnd"/>
      <w:r w:rsidR="00EF1CB9">
        <w:rPr>
          <w:i w:val="0"/>
        </w:rPr>
        <w:t xml:space="preserve"> u iznosu  od 85.472,30 kuna.</w:t>
      </w:r>
    </w:p>
    <w:p w:rsidR="00EF1CB9" w:rsidRDefault="00EF1CB9" w:rsidP="00CE7F21">
      <w:pPr>
        <w:pStyle w:val="Bezproreda"/>
        <w:jc w:val="both"/>
        <w:rPr>
          <w:b/>
          <w:i w:val="0"/>
        </w:rPr>
      </w:pPr>
    </w:p>
    <w:p w:rsidR="00CE7F21" w:rsidRDefault="00EF1CB9" w:rsidP="00CE7F21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>izvršen je u iznosu od 338.000,00 kune a sredstva su dodijeljena sportski udrugama i to: Nogometni klub Hrvatski vitez  iz Pose</w:t>
      </w:r>
      <w:r>
        <w:t xml:space="preserve">darje u iznosu od 130.000,00 kuna, Nogometni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u iznos</w:t>
      </w:r>
      <w:r w:rsidR="00CE7F21">
        <w:t xml:space="preserve">u od 100.000,00 kuna , Odbojkaški </w:t>
      </w:r>
      <w:r>
        <w:t xml:space="preserve"> klub Posed</w:t>
      </w:r>
      <w:r w:rsidR="00CE7F21">
        <w:t>a</w:t>
      </w:r>
      <w:r>
        <w:t xml:space="preserve">rje 10.000,00 kuna, Boćarski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20.000,00 kuna, Boćarski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20.000,00 kuna, Boćarski klub Sveti Nikola iz Islama Latinskog u iznosu od 20.000,00 kuna, Malonogometni klub </w:t>
      </w:r>
      <w:proofErr w:type="spellStart"/>
      <w:r>
        <w:t>Grgurice</w:t>
      </w:r>
      <w:proofErr w:type="spellEnd"/>
      <w:r>
        <w:t xml:space="preserve"> iz </w:t>
      </w:r>
      <w:proofErr w:type="spellStart"/>
      <w:r>
        <w:t>Grgurica</w:t>
      </w:r>
      <w:proofErr w:type="spellEnd"/>
      <w:r>
        <w:t xml:space="preserve"> 10.000,00 kuna, Hrvatski atletski klub Sveti Ante iz </w:t>
      </w:r>
      <w:proofErr w:type="spellStart"/>
      <w:r>
        <w:t>Poličnika</w:t>
      </w:r>
      <w:proofErr w:type="spellEnd"/>
      <w:r>
        <w:t xml:space="preserve"> 3.000,00 kuna, Malonogometni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10.000,00 kuna, Košarkaški savez zadarske županije 5.000,00 kuna, Pikado klub Islam latinski 5.000,00 kuna.</w:t>
      </w:r>
    </w:p>
    <w:p w:rsidR="00CE7F21" w:rsidRPr="00CE7F21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1.746.241,25 kune a obuhvaća aktivnost osnovno, srednjoškolsko i visoko obrazovanje u iznosu od 514.011,25 kuna (</w:t>
      </w:r>
      <w:r>
        <w:rPr>
          <w:i w:val="0"/>
        </w:rPr>
        <w:t>stipendije, naknade za subvencioniranje kupnje udžbenika, sufinanciranje cijene prijevoza, kupnja likovnih kutija za učenike osnovne škole), financiranje DV Cvrčak Posedarje  iz proračuna Općine Posedarje u iznosu od 734.347,00 kune te vlastita sredstva DV Cvrčak Posedarje u iznosu od 497.883,00 kune.</w:t>
      </w:r>
    </w:p>
    <w:p w:rsidR="00CE7F21" w:rsidRDefault="00CE7F21" w:rsidP="00CE7F21">
      <w:pPr>
        <w:pStyle w:val="Bezproreda"/>
        <w:jc w:val="both"/>
        <w:rPr>
          <w:i w:val="0"/>
        </w:rPr>
      </w:pPr>
    </w:p>
    <w:p w:rsidR="00CE7F21" w:rsidRPr="00FE1F7E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>ostvaren je u iznosu od 270.509,35 kuna</w:t>
      </w:r>
      <w:r w:rsidR="00FE1F7E">
        <w:rPr>
          <w:i w:val="0"/>
        </w:rPr>
        <w:t xml:space="preserve"> a odnosi se na naknade za novorođenu djecu u iznosu od 135.000,00 kuna sufinanciranje cijene prijevoza djece s posebnim potrebama u DV Latica u iznosu od 47.174,50 kuna, ostale naknade iz proračuna u naravi u iznosu od 28.093,50 kuna, tekuće pomoći građanima i kućanstvima u iznosu od 58.741,35, tekuća pomoć Savezu slijepi Zadar u iznosu od 1.500,00 kuna  </w:t>
      </w:r>
    </w:p>
    <w:p w:rsidR="00CE7F21" w:rsidRDefault="00CE7F21" w:rsidP="00CE7F21">
      <w:pPr>
        <w:pStyle w:val="Grafikeoznake"/>
        <w:numPr>
          <w:ilvl w:val="0"/>
          <w:numId w:val="0"/>
        </w:numPr>
        <w:jc w:val="both"/>
      </w:pP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EF1CB9" w:rsidRDefault="00EF1CB9" w:rsidP="00EF1CB9">
      <w:pPr>
        <w:pStyle w:val="Bezproreda"/>
        <w:rPr>
          <w:i w:val="0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2D53"/>
    <w:rsid w:val="00004DCB"/>
    <w:rsid w:val="00023044"/>
    <w:rsid w:val="000C1393"/>
    <w:rsid w:val="00182BBB"/>
    <w:rsid w:val="00196F70"/>
    <w:rsid w:val="0023421A"/>
    <w:rsid w:val="00254F4B"/>
    <w:rsid w:val="002E2D53"/>
    <w:rsid w:val="002E53C1"/>
    <w:rsid w:val="00320C98"/>
    <w:rsid w:val="00324669"/>
    <w:rsid w:val="00377FCE"/>
    <w:rsid w:val="003B1995"/>
    <w:rsid w:val="0043235A"/>
    <w:rsid w:val="0044556C"/>
    <w:rsid w:val="004A406A"/>
    <w:rsid w:val="004F56B6"/>
    <w:rsid w:val="00526E64"/>
    <w:rsid w:val="00590900"/>
    <w:rsid w:val="005A29C0"/>
    <w:rsid w:val="00681589"/>
    <w:rsid w:val="006C7F5F"/>
    <w:rsid w:val="006F4638"/>
    <w:rsid w:val="007E22B5"/>
    <w:rsid w:val="007E30F5"/>
    <w:rsid w:val="00854FE2"/>
    <w:rsid w:val="008A64A1"/>
    <w:rsid w:val="008D4BE5"/>
    <w:rsid w:val="008D6F65"/>
    <w:rsid w:val="00954CC4"/>
    <w:rsid w:val="0097241B"/>
    <w:rsid w:val="009A6903"/>
    <w:rsid w:val="009F2C5F"/>
    <w:rsid w:val="00A509B4"/>
    <w:rsid w:val="00A92E91"/>
    <w:rsid w:val="00AD4AF7"/>
    <w:rsid w:val="00B437A9"/>
    <w:rsid w:val="00B72C85"/>
    <w:rsid w:val="00CB046C"/>
    <w:rsid w:val="00CE7F21"/>
    <w:rsid w:val="00D3121F"/>
    <w:rsid w:val="00D76212"/>
    <w:rsid w:val="00DD1170"/>
    <w:rsid w:val="00E24B71"/>
    <w:rsid w:val="00E723CA"/>
    <w:rsid w:val="00EA0B08"/>
    <w:rsid w:val="00EB2B37"/>
    <w:rsid w:val="00EE6842"/>
    <w:rsid w:val="00EF1CB9"/>
    <w:rsid w:val="00F95ACE"/>
    <w:rsid w:val="00FD37E9"/>
    <w:rsid w:val="00FE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8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2018-04-25T06:06:00Z</cp:lastPrinted>
  <dcterms:created xsi:type="dcterms:W3CDTF">2018-04-12T12:23:00Z</dcterms:created>
  <dcterms:modified xsi:type="dcterms:W3CDTF">2018-04-25T06:07:00Z</dcterms:modified>
</cp:coreProperties>
</file>