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7B1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:rsidR="00434827" w:rsidRDefault="00EF70AB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:rsidR="00EF70AB" w:rsidRPr="00C61DDB" w:rsidRDefault="00EF70AB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ODJELJAK ZA PRORAČUN I FINANCIJE</w:t>
      </w:r>
    </w:p>
    <w:p w:rsidR="00434827" w:rsidRPr="00C61DDB" w:rsidRDefault="00434827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UPUTE ZA IZRADU PRORAČUNA OPĆINE POSEDARJE</w:t>
      </w:r>
    </w:p>
    <w:p w:rsidR="00F30134" w:rsidRPr="00C61DDB" w:rsidRDefault="00E06789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ZA RAZDOBLJE OD 202</w:t>
      </w:r>
      <w:r w:rsidR="00236F00">
        <w:rPr>
          <w:rFonts w:ascii="Times New Roman" w:hAnsi="Times New Roman" w:cs="Times New Roman"/>
          <w:b/>
          <w:sz w:val="24"/>
          <w:szCs w:val="24"/>
        </w:rPr>
        <w:t>6</w:t>
      </w:r>
      <w:r w:rsidR="00D0109E">
        <w:rPr>
          <w:rFonts w:ascii="Times New Roman" w:hAnsi="Times New Roman" w:cs="Times New Roman"/>
          <w:b/>
          <w:sz w:val="24"/>
          <w:szCs w:val="24"/>
        </w:rPr>
        <w:t>. DO</w:t>
      </w:r>
      <w:bookmarkStart w:id="0" w:name="_GoBack"/>
      <w:bookmarkEnd w:id="0"/>
      <w:r w:rsidR="00F30134" w:rsidRPr="00C61DD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36F00">
        <w:rPr>
          <w:rFonts w:ascii="Times New Roman" w:hAnsi="Times New Roman" w:cs="Times New Roman"/>
          <w:b/>
          <w:sz w:val="24"/>
          <w:szCs w:val="24"/>
        </w:rPr>
        <w:t>8</w:t>
      </w:r>
      <w:r w:rsidR="00F30134" w:rsidRPr="00C61DDB">
        <w:rPr>
          <w:rFonts w:ascii="Times New Roman" w:hAnsi="Times New Roman" w:cs="Times New Roman"/>
          <w:b/>
          <w:sz w:val="24"/>
          <w:szCs w:val="24"/>
        </w:rPr>
        <w:t>.GODINE</w:t>
      </w: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Posedarje,</w:t>
      </w:r>
      <w:r w:rsidR="008A275F" w:rsidRPr="00C61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0B0">
        <w:rPr>
          <w:rFonts w:ascii="Times New Roman" w:hAnsi="Times New Roman" w:cs="Times New Roman"/>
          <w:b/>
          <w:sz w:val="24"/>
          <w:szCs w:val="24"/>
        </w:rPr>
        <w:t>listopad</w:t>
      </w:r>
      <w:r w:rsidR="001A750C" w:rsidRPr="00C61DD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36F00">
        <w:rPr>
          <w:rFonts w:ascii="Times New Roman" w:hAnsi="Times New Roman" w:cs="Times New Roman"/>
          <w:b/>
          <w:sz w:val="24"/>
          <w:szCs w:val="24"/>
        </w:rPr>
        <w:t>5</w:t>
      </w:r>
      <w:r w:rsidR="001A750C" w:rsidRPr="00C61DDB">
        <w:rPr>
          <w:rFonts w:ascii="Times New Roman" w:hAnsi="Times New Roman" w:cs="Times New Roman"/>
          <w:b/>
          <w:sz w:val="24"/>
          <w:szCs w:val="24"/>
        </w:rPr>
        <w:t>.</w:t>
      </w:r>
      <w:r w:rsidR="008A275F" w:rsidRPr="00C61DDB">
        <w:rPr>
          <w:rFonts w:ascii="Times New Roman" w:hAnsi="Times New Roman" w:cs="Times New Roman"/>
          <w:b/>
          <w:sz w:val="24"/>
          <w:szCs w:val="24"/>
        </w:rPr>
        <w:t>g</w:t>
      </w:r>
      <w:r w:rsidRPr="00C61DDB">
        <w:rPr>
          <w:rFonts w:ascii="Times New Roman" w:hAnsi="Times New Roman" w:cs="Times New Roman"/>
          <w:b/>
          <w:sz w:val="24"/>
          <w:szCs w:val="24"/>
        </w:rPr>
        <w:t>.</w:t>
      </w: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134" w:rsidRPr="00C61DDB" w:rsidRDefault="00F30134" w:rsidP="00F301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34827" w:rsidRPr="00C61DDB" w:rsidRDefault="00434827" w:rsidP="00F3013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827" w:rsidRPr="00C61DDB" w:rsidRDefault="00434827" w:rsidP="00CB50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A00" w:rsidRPr="00C61DDB" w:rsidRDefault="00F30134" w:rsidP="00CB50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UPUTE ZA IZRADU</w:t>
      </w:r>
      <w:r w:rsidR="009A722E" w:rsidRPr="00C61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A00" w:rsidRPr="00C61DDB">
        <w:rPr>
          <w:rFonts w:ascii="Times New Roman" w:hAnsi="Times New Roman" w:cs="Times New Roman"/>
          <w:b/>
          <w:sz w:val="24"/>
          <w:szCs w:val="24"/>
        </w:rPr>
        <w:t>PRORAČUNA OPĆINE POSEDARJE I</w:t>
      </w:r>
    </w:p>
    <w:p w:rsidR="00F30134" w:rsidRPr="00C61DDB" w:rsidRDefault="00F30134" w:rsidP="00CB50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FINANCIJSKIH PLANOVA PRORAČUNSKIH KORISNIKA</w:t>
      </w:r>
    </w:p>
    <w:p w:rsidR="00F30134" w:rsidRPr="00C61DDB" w:rsidRDefault="00F30134" w:rsidP="00CB50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OPĆI</w:t>
      </w:r>
      <w:r w:rsidR="00E06789" w:rsidRPr="00C61DDB">
        <w:rPr>
          <w:rFonts w:ascii="Times New Roman" w:hAnsi="Times New Roman" w:cs="Times New Roman"/>
          <w:b/>
          <w:sz w:val="24"/>
          <w:szCs w:val="24"/>
        </w:rPr>
        <w:t>NE POSED</w:t>
      </w:r>
      <w:r w:rsidR="00887A00" w:rsidRPr="00C61DDB">
        <w:rPr>
          <w:rFonts w:ascii="Times New Roman" w:hAnsi="Times New Roman" w:cs="Times New Roman"/>
          <w:b/>
          <w:sz w:val="24"/>
          <w:szCs w:val="24"/>
        </w:rPr>
        <w:t>A</w:t>
      </w:r>
      <w:r w:rsidR="00E06789" w:rsidRPr="00C61DDB">
        <w:rPr>
          <w:rFonts w:ascii="Times New Roman" w:hAnsi="Times New Roman" w:cs="Times New Roman"/>
          <w:b/>
          <w:sz w:val="24"/>
          <w:szCs w:val="24"/>
        </w:rPr>
        <w:t>RJE ZA RAZDOBLJE OD 202</w:t>
      </w:r>
      <w:r w:rsidR="00EF70AB">
        <w:rPr>
          <w:rFonts w:ascii="Times New Roman" w:hAnsi="Times New Roman" w:cs="Times New Roman"/>
          <w:b/>
          <w:sz w:val="24"/>
          <w:szCs w:val="24"/>
        </w:rPr>
        <w:t>6</w:t>
      </w:r>
      <w:r w:rsidRPr="00C61DDB">
        <w:rPr>
          <w:rFonts w:ascii="Times New Roman" w:hAnsi="Times New Roman" w:cs="Times New Roman"/>
          <w:b/>
          <w:sz w:val="24"/>
          <w:szCs w:val="24"/>
        </w:rPr>
        <w:t>-</w:t>
      </w:r>
      <w:r w:rsidR="0072110C" w:rsidRPr="00C61DDB">
        <w:rPr>
          <w:rFonts w:ascii="Times New Roman" w:hAnsi="Times New Roman" w:cs="Times New Roman"/>
          <w:b/>
          <w:sz w:val="24"/>
          <w:szCs w:val="24"/>
        </w:rPr>
        <w:t>202</w:t>
      </w:r>
      <w:r w:rsidR="00EF70AB">
        <w:rPr>
          <w:rFonts w:ascii="Times New Roman" w:hAnsi="Times New Roman" w:cs="Times New Roman"/>
          <w:b/>
          <w:sz w:val="24"/>
          <w:szCs w:val="24"/>
        </w:rPr>
        <w:t>8</w:t>
      </w:r>
      <w:r w:rsidR="0072110C" w:rsidRPr="00C61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DDB">
        <w:rPr>
          <w:rFonts w:ascii="Times New Roman" w:hAnsi="Times New Roman" w:cs="Times New Roman"/>
          <w:b/>
          <w:sz w:val="24"/>
          <w:szCs w:val="24"/>
        </w:rPr>
        <w:t>GODINE</w:t>
      </w:r>
    </w:p>
    <w:p w:rsidR="00F35D46" w:rsidRPr="00C61DDB" w:rsidRDefault="00F35D46" w:rsidP="00CB50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D46" w:rsidRPr="00C61DDB" w:rsidRDefault="00F35D46" w:rsidP="005316E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UVOD</w:t>
      </w:r>
    </w:p>
    <w:p w:rsidR="00F35D46" w:rsidRPr="00C61DDB" w:rsidRDefault="00F35D46" w:rsidP="00F35D46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Uvodna riječ</w:t>
      </w:r>
    </w:p>
    <w:p w:rsidR="00F30134" w:rsidRPr="00C61DDB" w:rsidRDefault="00F30134" w:rsidP="00900BB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D46" w:rsidRDefault="00F35D46" w:rsidP="00900B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 xml:space="preserve">Prema novom Zakonu o proračunu ("Narodne novine" br. 144/21) Ministarstvo financija </w:t>
      </w:r>
      <w:r w:rsidR="003F07C8">
        <w:rPr>
          <w:rFonts w:ascii="Times New Roman" w:hAnsi="Times New Roman" w:cs="Times New Roman"/>
          <w:sz w:val="24"/>
          <w:szCs w:val="24"/>
        </w:rPr>
        <w:t xml:space="preserve"> sastavlja</w:t>
      </w:r>
      <w:r w:rsidRPr="00C61DDB">
        <w:rPr>
          <w:rFonts w:ascii="Times New Roman" w:hAnsi="Times New Roman" w:cs="Times New Roman"/>
          <w:sz w:val="24"/>
          <w:szCs w:val="24"/>
        </w:rPr>
        <w:t xml:space="preserve"> Upute za izradu proračuna  Jedinic</w:t>
      </w:r>
      <w:r w:rsidR="0091164D">
        <w:rPr>
          <w:rFonts w:ascii="Times New Roman" w:hAnsi="Times New Roman" w:cs="Times New Roman"/>
          <w:sz w:val="24"/>
          <w:szCs w:val="24"/>
        </w:rPr>
        <w:t>e</w:t>
      </w:r>
      <w:r w:rsidRPr="00C61DDB">
        <w:rPr>
          <w:rFonts w:ascii="Times New Roman" w:hAnsi="Times New Roman" w:cs="Times New Roman"/>
          <w:sz w:val="24"/>
          <w:szCs w:val="24"/>
        </w:rPr>
        <w:t xml:space="preserve"> lokalne područne i (regionalne) samouprave </w:t>
      </w:r>
      <w:r w:rsidR="0072110C" w:rsidRPr="00C61DDB">
        <w:rPr>
          <w:rFonts w:ascii="Times New Roman" w:hAnsi="Times New Roman" w:cs="Times New Roman"/>
          <w:sz w:val="24"/>
          <w:szCs w:val="24"/>
        </w:rPr>
        <w:t xml:space="preserve"> </w:t>
      </w:r>
      <w:r w:rsidR="003F07C8">
        <w:rPr>
          <w:rFonts w:ascii="Times New Roman" w:hAnsi="Times New Roman" w:cs="Times New Roman"/>
          <w:sz w:val="24"/>
          <w:szCs w:val="24"/>
        </w:rPr>
        <w:t>te iste dostavlja jedinicama.</w:t>
      </w:r>
      <w:r w:rsidR="0036283C">
        <w:rPr>
          <w:rFonts w:ascii="Times New Roman" w:hAnsi="Times New Roman" w:cs="Times New Roman"/>
          <w:sz w:val="24"/>
          <w:szCs w:val="24"/>
        </w:rPr>
        <w:t xml:space="preserve"> </w:t>
      </w:r>
      <w:r w:rsidR="003F07C8">
        <w:rPr>
          <w:rFonts w:ascii="Times New Roman" w:hAnsi="Times New Roman" w:cs="Times New Roman"/>
          <w:sz w:val="24"/>
          <w:szCs w:val="24"/>
        </w:rPr>
        <w:t>Na</w:t>
      </w:r>
      <w:r w:rsidRPr="00C61DDB">
        <w:rPr>
          <w:rFonts w:ascii="Times New Roman" w:hAnsi="Times New Roman" w:cs="Times New Roman"/>
          <w:sz w:val="24"/>
          <w:szCs w:val="24"/>
        </w:rPr>
        <w:t xml:space="preserve"> temelju Uputa Ministarstva financija i u skladu s odredbama članka 26. Zakona o proračunu ("Narodne novine" br 144/21), </w:t>
      </w:r>
      <w:r w:rsidR="00236F00">
        <w:rPr>
          <w:rFonts w:ascii="Times New Roman" w:hAnsi="Times New Roman" w:cs="Times New Roman"/>
          <w:sz w:val="24"/>
          <w:szCs w:val="24"/>
        </w:rPr>
        <w:t>odjeljak</w:t>
      </w:r>
      <w:r w:rsidRPr="00C61DDB">
        <w:rPr>
          <w:rFonts w:ascii="Times New Roman" w:hAnsi="Times New Roman" w:cs="Times New Roman"/>
          <w:sz w:val="24"/>
          <w:szCs w:val="24"/>
        </w:rPr>
        <w:t xml:space="preserve"> za proračun i financije Općine Posedarje izrađuje upute za izradu proračuna i dostavu financijskih planova proračunskih korisnika.</w:t>
      </w:r>
      <w:r w:rsidR="003F07C8">
        <w:rPr>
          <w:rFonts w:ascii="Times New Roman" w:hAnsi="Times New Roman" w:cs="Times New Roman"/>
          <w:sz w:val="24"/>
          <w:szCs w:val="24"/>
        </w:rPr>
        <w:t xml:space="preserve"> Kako Ministarstvo financi</w:t>
      </w:r>
      <w:r w:rsidR="00900BB9">
        <w:rPr>
          <w:rFonts w:ascii="Times New Roman" w:hAnsi="Times New Roman" w:cs="Times New Roman"/>
          <w:sz w:val="24"/>
          <w:szCs w:val="24"/>
        </w:rPr>
        <w:t xml:space="preserve">ja do danas nije izradilo Upute, </w:t>
      </w:r>
      <w:r w:rsidR="00236F00">
        <w:rPr>
          <w:rFonts w:ascii="Times New Roman" w:hAnsi="Times New Roman" w:cs="Times New Roman"/>
          <w:sz w:val="24"/>
          <w:szCs w:val="24"/>
        </w:rPr>
        <w:t>odjeljak</w:t>
      </w:r>
      <w:r w:rsidR="00900BB9">
        <w:rPr>
          <w:rFonts w:ascii="Times New Roman" w:hAnsi="Times New Roman" w:cs="Times New Roman"/>
          <w:sz w:val="24"/>
          <w:szCs w:val="24"/>
        </w:rPr>
        <w:t xml:space="preserve"> za proračun i financije izrađuje Upute za izradu i dostavu prijedloga plana proračuna i financijskih planova proračunskog korisnika Općine Posedarje za razdoblje od 202</w:t>
      </w:r>
      <w:r w:rsidR="00236F00">
        <w:rPr>
          <w:rFonts w:ascii="Times New Roman" w:hAnsi="Times New Roman" w:cs="Times New Roman"/>
          <w:sz w:val="24"/>
          <w:szCs w:val="24"/>
        </w:rPr>
        <w:t>6</w:t>
      </w:r>
      <w:r w:rsidR="00900BB9">
        <w:rPr>
          <w:rFonts w:ascii="Times New Roman" w:hAnsi="Times New Roman" w:cs="Times New Roman"/>
          <w:sz w:val="24"/>
          <w:szCs w:val="24"/>
        </w:rPr>
        <w:t>.-202</w:t>
      </w:r>
      <w:r w:rsidR="00236F00">
        <w:rPr>
          <w:rFonts w:ascii="Times New Roman" w:hAnsi="Times New Roman" w:cs="Times New Roman"/>
          <w:sz w:val="24"/>
          <w:szCs w:val="24"/>
        </w:rPr>
        <w:t>8</w:t>
      </w:r>
      <w:r w:rsidR="00900BB9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900BB9" w:rsidRPr="00C61DDB" w:rsidRDefault="00900BB9" w:rsidP="00900B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što Ministarstvo financija izradi i dostavi upute za izradu Plana proračuna za 202</w:t>
      </w:r>
      <w:r w:rsidR="00236F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.godinu s projekcijama za 202</w:t>
      </w:r>
      <w:r w:rsidR="00236F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236F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godinu, napravit će se dopune ovih Uputa koje će biti objavljene na službenoj stranici Općine Posedarje.</w:t>
      </w:r>
    </w:p>
    <w:p w:rsidR="000542A7" w:rsidRPr="00C61DDB" w:rsidRDefault="000542A7" w:rsidP="0094563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F7D5A" w:rsidRPr="00C61DDB" w:rsidRDefault="001F7D5A" w:rsidP="002C05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16E3" w:rsidRPr="00C61DDB" w:rsidRDefault="005316E3" w:rsidP="002C05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>Proračunski korisnici  Općine obvezni su pristupiti izrade prijedloga svojih planova primjenjujći metodologiju u skladu s novim Zakonom o proračunu te Pravilnikom o proračunskom računovodstvu i računskom planu.</w:t>
      </w:r>
    </w:p>
    <w:p w:rsidR="00061A1A" w:rsidRPr="00C61DDB" w:rsidRDefault="00061A1A" w:rsidP="002C05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1A1A" w:rsidRPr="00C61DDB" w:rsidRDefault="00061A1A" w:rsidP="002C0567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TEMELJNE MAKROEKONOMSKE PRETPOSTAVKE ZA IZRADU PRIJEDLOGA PRORAČUNA OPĆINE POSEDARJE</w:t>
      </w:r>
    </w:p>
    <w:p w:rsidR="00061A1A" w:rsidRPr="00C61DDB" w:rsidRDefault="00061A1A" w:rsidP="002C0567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83C" w:rsidRDefault="0036283C" w:rsidP="002C056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člankom 26. Zakona o proračunu ("Narodne novine 144/21) upute koje se izrađuju trebaju sadržavati temeljne makroekonomske pokazatelje za izradu prijedloga plana proračuna.</w:t>
      </w:r>
      <w:r w:rsidR="00E07981">
        <w:rPr>
          <w:rFonts w:ascii="Times New Roman" w:hAnsi="Times New Roman" w:cs="Times New Roman"/>
          <w:sz w:val="24"/>
          <w:szCs w:val="24"/>
        </w:rPr>
        <w:t xml:space="preserve"> Hrvatska narodna banka je u mjesecu rujnu 2025.godine objavila Sažetak jesenske makroekonomske projekcije HNB-a za Hrvatsku-rujan 2025" u kojem je objavila svoje makroekonomse projekcije za nadolazeće razdoblje i to:</w:t>
      </w:r>
    </w:p>
    <w:p w:rsidR="00E07981" w:rsidRDefault="00E07981" w:rsidP="002C056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1559"/>
        <w:gridCol w:w="1836"/>
      </w:tblGrid>
      <w:tr w:rsidR="00E07981" w:rsidTr="00E07981">
        <w:tc>
          <w:tcPr>
            <w:tcW w:w="3746" w:type="dxa"/>
          </w:tcPr>
          <w:p w:rsidR="00E07981" w:rsidRDefault="00E07981" w:rsidP="002C0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7981" w:rsidRDefault="00E07981" w:rsidP="002C0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2025.godina</w:t>
            </w:r>
          </w:p>
        </w:tc>
        <w:tc>
          <w:tcPr>
            <w:tcW w:w="1836" w:type="dxa"/>
          </w:tcPr>
          <w:p w:rsidR="00E07981" w:rsidRDefault="00E07981" w:rsidP="002C0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godina</w:t>
            </w:r>
          </w:p>
        </w:tc>
      </w:tr>
      <w:tr w:rsidR="00E07981" w:rsidTr="00E07981">
        <w:tc>
          <w:tcPr>
            <w:tcW w:w="3746" w:type="dxa"/>
          </w:tcPr>
          <w:p w:rsidR="00E07981" w:rsidRDefault="00E07981" w:rsidP="002C0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BDP-relni rast (stopa promjene, %)</w:t>
            </w:r>
          </w:p>
        </w:tc>
        <w:tc>
          <w:tcPr>
            <w:tcW w:w="1559" w:type="dxa"/>
          </w:tcPr>
          <w:p w:rsidR="00E07981" w:rsidRDefault="00E07981" w:rsidP="002C0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836" w:type="dxa"/>
          </w:tcPr>
          <w:p w:rsidR="00E07981" w:rsidRDefault="00E07981" w:rsidP="002C0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E07981" w:rsidTr="00E07981">
        <w:tc>
          <w:tcPr>
            <w:tcW w:w="3746" w:type="dxa"/>
          </w:tcPr>
          <w:p w:rsidR="00E07981" w:rsidRDefault="00E07981" w:rsidP="002C0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Index rasta</w:t>
            </w:r>
            <w:r w:rsidR="00216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potrošačkih cijena (stopa promjene)</w:t>
            </w:r>
          </w:p>
        </w:tc>
        <w:tc>
          <w:tcPr>
            <w:tcW w:w="1559" w:type="dxa"/>
          </w:tcPr>
          <w:p w:rsidR="00E07981" w:rsidRDefault="00216749" w:rsidP="002C0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36" w:type="dxa"/>
          </w:tcPr>
          <w:p w:rsidR="00E07981" w:rsidRDefault="00216749" w:rsidP="002C0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07981" w:rsidTr="00E07981">
        <w:tc>
          <w:tcPr>
            <w:tcW w:w="3746" w:type="dxa"/>
          </w:tcPr>
          <w:p w:rsidR="00E07981" w:rsidRDefault="00E07981" w:rsidP="0021674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Stopa </w:t>
            </w:r>
            <w:r w:rsidR="0021674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aposlenosti (</w:t>
            </w:r>
            <w:r w:rsidR="002167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07981" w:rsidRDefault="00216749" w:rsidP="002C0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836" w:type="dxa"/>
          </w:tcPr>
          <w:p w:rsidR="00E07981" w:rsidRDefault="00216749" w:rsidP="002C0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E07981" w:rsidTr="00E07981">
        <w:tc>
          <w:tcPr>
            <w:tcW w:w="3746" w:type="dxa"/>
          </w:tcPr>
          <w:p w:rsidR="00E07981" w:rsidRDefault="00216749" w:rsidP="002C0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Rast neto korištenja fonoda EU-a (%)</w:t>
            </w:r>
          </w:p>
        </w:tc>
        <w:tc>
          <w:tcPr>
            <w:tcW w:w="1559" w:type="dxa"/>
          </w:tcPr>
          <w:p w:rsidR="00E07981" w:rsidRDefault="00216749" w:rsidP="002C0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836" w:type="dxa"/>
          </w:tcPr>
          <w:p w:rsidR="00E07981" w:rsidRDefault="00216749" w:rsidP="002C056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</w:tbl>
    <w:p w:rsidR="00236F00" w:rsidRDefault="00236F00" w:rsidP="002C056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6F00" w:rsidRDefault="00236F00" w:rsidP="002C056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6F00" w:rsidRDefault="00236F00" w:rsidP="002C056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6F00" w:rsidRDefault="00236F00" w:rsidP="002C056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6F00" w:rsidRDefault="00236F00" w:rsidP="002C056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62A1" w:rsidRDefault="00E062A1" w:rsidP="00236F0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62A1" w:rsidRDefault="00E062A1" w:rsidP="002C056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62A1" w:rsidRDefault="00E062A1" w:rsidP="002C056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1A1A" w:rsidRPr="00C61DDB" w:rsidRDefault="00061A1A" w:rsidP="002C056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5D4E" w:rsidRPr="008A50B0" w:rsidRDefault="000B551B" w:rsidP="008A50B0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0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METEDOLOGIJA </w:t>
      </w:r>
      <w:r w:rsidR="00465D4E" w:rsidRPr="008A50B0">
        <w:rPr>
          <w:rFonts w:ascii="Times New Roman" w:hAnsi="Times New Roman" w:cs="Times New Roman"/>
          <w:b/>
          <w:sz w:val="24"/>
          <w:szCs w:val="24"/>
        </w:rPr>
        <w:t>IZRAD</w:t>
      </w:r>
      <w:r w:rsidRPr="008A50B0">
        <w:rPr>
          <w:rFonts w:ascii="Times New Roman" w:hAnsi="Times New Roman" w:cs="Times New Roman"/>
          <w:b/>
          <w:sz w:val="24"/>
          <w:szCs w:val="24"/>
        </w:rPr>
        <w:t>E</w:t>
      </w:r>
      <w:r w:rsidR="00465D4E" w:rsidRPr="008A50B0">
        <w:rPr>
          <w:rFonts w:ascii="Times New Roman" w:hAnsi="Times New Roman" w:cs="Times New Roman"/>
          <w:b/>
          <w:sz w:val="24"/>
          <w:szCs w:val="24"/>
        </w:rPr>
        <w:t>, PREDLAGANJA I DONOŠENJA PRORAČUNA I FINANCIJSKIH PALOVA PREMA NOVOM ZAKONU O PRORAČUNU</w:t>
      </w:r>
    </w:p>
    <w:p w:rsidR="00465D4E" w:rsidRPr="00C61DDB" w:rsidRDefault="001F7D5A" w:rsidP="002C056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>U ovom dijelu navodimo odredbe Zakona o proračunu u vezi izrade, predlaganja i donošenja proračuna i financijskih planova za razdoblje od 202</w:t>
      </w:r>
      <w:r w:rsidR="00216749">
        <w:rPr>
          <w:rFonts w:ascii="Times New Roman" w:hAnsi="Times New Roman" w:cs="Times New Roman"/>
          <w:sz w:val="24"/>
          <w:szCs w:val="24"/>
        </w:rPr>
        <w:t>6</w:t>
      </w:r>
      <w:r w:rsidRPr="00C61DDB">
        <w:rPr>
          <w:rFonts w:ascii="Times New Roman" w:hAnsi="Times New Roman" w:cs="Times New Roman"/>
          <w:sz w:val="24"/>
          <w:szCs w:val="24"/>
        </w:rPr>
        <w:t>.-202</w:t>
      </w:r>
      <w:r w:rsidR="00216749">
        <w:rPr>
          <w:rFonts w:ascii="Times New Roman" w:hAnsi="Times New Roman" w:cs="Times New Roman"/>
          <w:sz w:val="24"/>
          <w:szCs w:val="24"/>
        </w:rPr>
        <w:t>8</w:t>
      </w:r>
      <w:r w:rsidRPr="00C61DDB">
        <w:rPr>
          <w:rFonts w:ascii="Times New Roman" w:hAnsi="Times New Roman" w:cs="Times New Roman"/>
          <w:sz w:val="24"/>
          <w:szCs w:val="24"/>
        </w:rPr>
        <w:t>. godine.</w:t>
      </w:r>
    </w:p>
    <w:p w:rsidR="001F7D5A" w:rsidRPr="00C61DDB" w:rsidRDefault="001F7D5A" w:rsidP="002C056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5D4E" w:rsidRPr="00C61DDB" w:rsidRDefault="00465D4E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3.1  Predlaganje i donošenje proračuna i financijskih p</w:t>
      </w:r>
      <w:r w:rsidR="00216749">
        <w:rPr>
          <w:rFonts w:ascii="Times New Roman" w:hAnsi="Times New Roman" w:cs="Times New Roman"/>
          <w:b/>
          <w:sz w:val="24"/>
          <w:szCs w:val="24"/>
        </w:rPr>
        <w:t>lanova</w:t>
      </w:r>
      <w:r w:rsidRPr="00C61DDB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216749">
        <w:rPr>
          <w:rFonts w:ascii="Times New Roman" w:hAnsi="Times New Roman" w:cs="Times New Roman"/>
          <w:b/>
          <w:sz w:val="24"/>
          <w:szCs w:val="24"/>
        </w:rPr>
        <w:t>6</w:t>
      </w:r>
      <w:r w:rsidRPr="00C61DDB">
        <w:rPr>
          <w:rFonts w:ascii="Times New Roman" w:hAnsi="Times New Roman" w:cs="Times New Roman"/>
          <w:b/>
          <w:sz w:val="24"/>
          <w:szCs w:val="24"/>
        </w:rPr>
        <w:t>. godinu i projekcija za 202</w:t>
      </w:r>
      <w:r w:rsidR="00216749">
        <w:rPr>
          <w:rFonts w:ascii="Times New Roman" w:hAnsi="Times New Roman" w:cs="Times New Roman"/>
          <w:b/>
          <w:sz w:val="24"/>
          <w:szCs w:val="24"/>
        </w:rPr>
        <w:t>7</w:t>
      </w:r>
      <w:r w:rsidRPr="00C61DDB">
        <w:rPr>
          <w:rFonts w:ascii="Times New Roman" w:hAnsi="Times New Roman" w:cs="Times New Roman"/>
          <w:b/>
          <w:sz w:val="24"/>
          <w:szCs w:val="24"/>
        </w:rPr>
        <w:t>. i 202</w:t>
      </w:r>
      <w:r w:rsidR="00216749">
        <w:rPr>
          <w:rFonts w:ascii="Times New Roman" w:hAnsi="Times New Roman" w:cs="Times New Roman"/>
          <w:b/>
          <w:sz w:val="24"/>
          <w:szCs w:val="24"/>
        </w:rPr>
        <w:t>8</w:t>
      </w:r>
      <w:r w:rsidRPr="00C61DDB">
        <w:rPr>
          <w:rFonts w:ascii="Times New Roman" w:hAnsi="Times New Roman" w:cs="Times New Roman"/>
          <w:b/>
          <w:sz w:val="24"/>
          <w:szCs w:val="24"/>
        </w:rPr>
        <w:t>. godinu na razini ekupine ekonomske klasifikacije</w:t>
      </w:r>
    </w:p>
    <w:p w:rsidR="00465D4E" w:rsidRPr="00C61DDB" w:rsidRDefault="00465D4E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0761" w:rsidRPr="00C61DDB" w:rsidRDefault="00A90761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>Suk</w:t>
      </w:r>
      <w:r w:rsidR="00216749">
        <w:rPr>
          <w:rFonts w:ascii="Times New Roman" w:hAnsi="Times New Roman" w:cs="Times New Roman"/>
          <w:sz w:val="24"/>
          <w:szCs w:val="24"/>
        </w:rPr>
        <w:t>l</w:t>
      </w:r>
      <w:r w:rsidRPr="00C61DDB">
        <w:rPr>
          <w:rFonts w:ascii="Times New Roman" w:hAnsi="Times New Roman" w:cs="Times New Roman"/>
          <w:sz w:val="24"/>
          <w:szCs w:val="24"/>
        </w:rPr>
        <w:t>adno člancima 38. ,39., i 42 Zakona o proračunu, proračun jedinica lokalne i područne (regionalne) samouprave, financijki plan proračunskog korisnika te financijski plan izvanproračunskih korisnika usvaja se na razini ekonomske klasifikacije. Slijedom n</w:t>
      </w:r>
      <w:r w:rsidR="0091164D">
        <w:rPr>
          <w:rFonts w:ascii="Times New Roman" w:hAnsi="Times New Roman" w:cs="Times New Roman"/>
          <w:sz w:val="24"/>
          <w:szCs w:val="24"/>
        </w:rPr>
        <w:t>a</w:t>
      </w:r>
      <w:r w:rsidRPr="00C61DDB">
        <w:rPr>
          <w:rFonts w:ascii="Times New Roman" w:hAnsi="Times New Roman" w:cs="Times New Roman"/>
          <w:sz w:val="24"/>
          <w:szCs w:val="24"/>
        </w:rPr>
        <w:t>vedenog, jedinice lokalne i područne (regionalne) samouprave, proračunski i izvanproračunski korisnici prihode i primitke, rashode i izdatke za 202</w:t>
      </w:r>
      <w:r w:rsidR="00216749">
        <w:rPr>
          <w:rFonts w:ascii="Times New Roman" w:hAnsi="Times New Roman" w:cs="Times New Roman"/>
          <w:sz w:val="24"/>
          <w:szCs w:val="24"/>
        </w:rPr>
        <w:t>6</w:t>
      </w:r>
      <w:r w:rsidRPr="00C61DDB">
        <w:rPr>
          <w:rFonts w:ascii="Times New Roman" w:hAnsi="Times New Roman" w:cs="Times New Roman"/>
          <w:sz w:val="24"/>
          <w:szCs w:val="24"/>
        </w:rPr>
        <w:t>. godinu iskazuju na razini skupine (druga razina proračunskomg plana) isto kao za 202</w:t>
      </w:r>
      <w:r w:rsidR="00216749">
        <w:rPr>
          <w:rFonts w:ascii="Times New Roman" w:hAnsi="Times New Roman" w:cs="Times New Roman"/>
          <w:sz w:val="24"/>
          <w:szCs w:val="24"/>
        </w:rPr>
        <w:t>7</w:t>
      </w:r>
      <w:r w:rsidRPr="00C61DDB">
        <w:rPr>
          <w:rFonts w:ascii="Times New Roman" w:hAnsi="Times New Roman" w:cs="Times New Roman"/>
          <w:sz w:val="24"/>
          <w:szCs w:val="24"/>
        </w:rPr>
        <w:t>. i 202</w:t>
      </w:r>
      <w:r w:rsidR="00216749">
        <w:rPr>
          <w:rFonts w:ascii="Times New Roman" w:hAnsi="Times New Roman" w:cs="Times New Roman"/>
          <w:sz w:val="24"/>
          <w:szCs w:val="24"/>
        </w:rPr>
        <w:t>8</w:t>
      </w:r>
      <w:r w:rsidRPr="00C61DDB">
        <w:rPr>
          <w:rFonts w:ascii="Times New Roman" w:hAnsi="Times New Roman" w:cs="Times New Roman"/>
          <w:sz w:val="24"/>
          <w:szCs w:val="24"/>
        </w:rPr>
        <w:t>. godinu.</w:t>
      </w:r>
    </w:p>
    <w:p w:rsidR="00A90761" w:rsidRPr="00C61DDB" w:rsidRDefault="00A90761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0761" w:rsidRPr="00C61DDB" w:rsidRDefault="00A90761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 xml:space="preserve"> 3.2. Iskazivanje rashoda u Računu prihoda i rashoda po funkcijskoj klasifikaciji</w:t>
      </w:r>
    </w:p>
    <w:p w:rsidR="00A90761" w:rsidRPr="00C61DDB" w:rsidRDefault="00A90761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132" w:rsidRPr="00C61DDB" w:rsidRDefault="00A90761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>Zakon</w:t>
      </w:r>
      <w:r w:rsidR="00AB0176">
        <w:rPr>
          <w:rFonts w:ascii="Times New Roman" w:hAnsi="Times New Roman" w:cs="Times New Roman"/>
          <w:sz w:val="24"/>
          <w:szCs w:val="24"/>
        </w:rPr>
        <w:t>om</w:t>
      </w:r>
      <w:r w:rsidRPr="00C61DDB">
        <w:rPr>
          <w:rFonts w:ascii="Times New Roman" w:hAnsi="Times New Roman" w:cs="Times New Roman"/>
          <w:sz w:val="24"/>
          <w:szCs w:val="24"/>
        </w:rPr>
        <w:t xml:space="preserve"> o proračunu u članku 29. propisuje da jednice lokalne i područne (regionalne) samouprave u Općem dijelu proračuna u Računu prihoda i rashoda, rashode iskazuju i prema funkcijskoj klasifikaciji. Ista obveza propisana je i proračunskim i izvanproračunskim korisnicima koji sukladno članku 34. Zakona o proračunu u Općem dijelu financijskog plana u računu prihoda i rashoda, rashode proračunskog korisnika trebaju iskazivati i prema funkcijskoj klasifikaciji</w:t>
      </w:r>
      <w:r w:rsidR="00077132" w:rsidRPr="00C61DDB">
        <w:rPr>
          <w:rFonts w:ascii="Times New Roman" w:hAnsi="Times New Roman" w:cs="Times New Roman"/>
          <w:sz w:val="24"/>
          <w:szCs w:val="24"/>
        </w:rPr>
        <w:t>. Dio jedinica lokalne i podoručne (regionalne) samouprava i njihovi proračunski i izvanproračunskih kroisnika i u dosadašnjim planovima su iskazivali rasho</w:t>
      </w:r>
      <w:r w:rsidR="005813AA" w:rsidRPr="00C61DDB">
        <w:rPr>
          <w:rFonts w:ascii="Times New Roman" w:hAnsi="Times New Roman" w:cs="Times New Roman"/>
          <w:sz w:val="24"/>
          <w:szCs w:val="24"/>
        </w:rPr>
        <w:t>d</w:t>
      </w:r>
      <w:r w:rsidR="00077132" w:rsidRPr="00C61DDB">
        <w:rPr>
          <w:rFonts w:ascii="Times New Roman" w:hAnsi="Times New Roman" w:cs="Times New Roman"/>
          <w:sz w:val="24"/>
          <w:szCs w:val="24"/>
        </w:rPr>
        <w:t xml:space="preserve">e po funkcijskoj klasifikaciji. </w:t>
      </w:r>
    </w:p>
    <w:p w:rsidR="005813AA" w:rsidRPr="00C61DDB" w:rsidRDefault="005813AA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132" w:rsidRPr="00C61DDB" w:rsidRDefault="00077132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3.3.  Sažetak Računa prihoda i rashoda te sažetak Računa financiranja u Općem dijelu proračuna i financijskog plana</w:t>
      </w:r>
    </w:p>
    <w:p w:rsidR="00077132" w:rsidRPr="00C61DDB" w:rsidRDefault="00077132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F79" w:rsidRPr="00C61DDB" w:rsidRDefault="00077132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>Zakon</w:t>
      </w:r>
      <w:r w:rsidR="00AB0176">
        <w:rPr>
          <w:rFonts w:ascii="Times New Roman" w:hAnsi="Times New Roman" w:cs="Times New Roman"/>
          <w:sz w:val="24"/>
          <w:szCs w:val="24"/>
        </w:rPr>
        <w:t>om</w:t>
      </w:r>
      <w:r w:rsidRPr="00C61DDB">
        <w:rPr>
          <w:rFonts w:ascii="Times New Roman" w:hAnsi="Times New Roman" w:cs="Times New Roman"/>
          <w:sz w:val="24"/>
          <w:szCs w:val="24"/>
        </w:rPr>
        <w:t xml:space="preserve"> o proračunu u članku 29. i u članku. 34 propisuje da Opći dio proračuna, odnosno Opći dio financijskog plana proračunskog i izvanproračunskog korisnika obvezno sadrži i sažetak </w:t>
      </w:r>
      <w:r w:rsidR="00AE4F79" w:rsidRPr="00C61DDB">
        <w:rPr>
          <w:rFonts w:ascii="Times New Roman" w:hAnsi="Times New Roman" w:cs="Times New Roman"/>
          <w:sz w:val="24"/>
          <w:szCs w:val="24"/>
        </w:rPr>
        <w:t>R</w:t>
      </w:r>
      <w:r w:rsidRPr="00C61DDB">
        <w:rPr>
          <w:rFonts w:ascii="Times New Roman" w:hAnsi="Times New Roman" w:cs="Times New Roman"/>
          <w:sz w:val="24"/>
          <w:szCs w:val="24"/>
        </w:rPr>
        <w:t>ačuna prih</w:t>
      </w:r>
      <w:r w:rsidR="00AE4F79" w:rsidRPr="00C61DDB">
        <w:rPr>
          <w:rFonts w:ascii="Times New Roman" w:hAnsi="Times New Roman" w:cs="Times New Roman"/>
          <w:sz w:val="24"/>
          <w:szCs w:val="24"/>
        </w:rPr>
        <w:t>oda</w:t>
      </w:r>
      <w:r w:rsidR="00AB0176">
        <w:rPr>
          <w:rFonts w:ascii="Times New Roman" w:hAnsi="Times New Roman" w:cs="Times New Roman"/>
          <w:sz w:val="24"/>
          <w:szCs w:val="24"/>
        </w:rPr>
        <w:t xml:space="preserve"> </w:t>
      </w:r>
      <w:r w:rsidR="00AE4F79" w:rsidRPr="00C61DDB">
        <w:rPr>
          <w:rFonts w:ascii="Times New Roman" w:hAnsi="Times New Roman" w:cs="Times New Roman"/>
          <w:sz w:val="24"/>
          <w:szCs w:val="24"/>
        </w:rPr>
        <w:t>i rashoda te sažetak Računa financiranja. U skladu s nevedenim, jedinice lokalne i područne (regionalne) samouprave te njihovi proračunski i izvanproračunski korisnici u obvezi su u ovom proračunskom ciklusu planiranja pripremiti navedene sažetke.</w:t>
      </w:r>
    </w:p>
    <w:p w:rsidR="005813AA" w:rsidRPr="00C61DDB" w:rsidRDefault="005813AA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F79" w:rsidRPr="00C61DDB" w:rsidRDefault="00AE4F79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 xml:space="preserve">3.4. Zakonska obveza izrade višegodišnjeg plana uravnoteženja </w:t>
      </w:r>
    </w:p>
    <w:p w:rsidR="00216749" w:rsidRDefault="00216749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4F79" w:rsidRPr="00C61DDB" w:rsidRDefault="00AE4F79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 xml:space="preserve">Člankom 37. novog Zakona o proračunu propisano je ako jedinica lokalne i područne (regionalne) samouprave i njihovi proračunski i izvanproračunski korisnici ne mogu preneseni manjak podmiriti do kraja proračunske godine, obvezni su izraditi višegodišnji plan uravnoteženja za razdoblje za koje se proračun, odnosno financijski plan donosi. </w:t>
      </w:r>
      <w:r w:rsidR="005813AA" w:rsidRPr="00C61DDB">
        <w:rPr>
          <w:rFonts w:ascii="Times New Roman" w:hAnsi="Times New Roman" w:cs="Times New Roman"/>
          <w:sz w:val="24"/>
          <w:szCs w:val="24"/>
        </w:rPr>
        <w:t>I</w:t>
      </w:r>
      <w:r w:rsidRPr="00C61DDB">
        <w:rPr>
          <w:rFonts w:ascii="Times New Roman" w:hAnsi="Times New Roman" w:cs="Times New Roman"/>
          <w:sz w:val="24"/>
          <w:szCs w:val="24"/>
        </w:rPr>
        <w:t>sto tako ako jedinica lokalne i regionalne (područne) samouprave i njihovi proračunski i izvanproračunski korisnici ne mogu preneseni višak, zbog n</w:t>
      </w:r>
      <w:r w:rsidR="0091164D">
        <w:rPr>
          <w:rFonts w:ascii="Times New Roman" w:hAnsi="Times New Roman" w:cs="Times New Roman"/>
          <w:sz w:val="24"/>
          <w:szCs w:val="24"/>
        </w:rPr>
        <w:t>j</w:t>
      </w:r>
      <w:r w:rsidRPr="00C61DDB">
        <w:rPr>
          <w:rFonts w:ascii="Times New Roman" w:hAnsi="Times New Roman" w:cs="Times New Roman"/>
          <w:sz w:val="24"/>
          <w:szCs w:val="24"/>
        </w:rPr>
        <w:t>egove velečine, u cijel</w:t>
      </w:r>
      <w:r w:rsidR="005813AA" w:rsidRPr="00C61DDB">
        <w:rPr>
          <w:rFonts w:ascii="Times New Roman" w:hAnsi="Times New Roman" w:cs="Times New Roman"/>
          <w:sz w:val="24"/>
          <w:szCs w:val="24"/>
        </w:rPr>
        <w:t>o</w:t>
      </w:r>
      <w:r w:rsidRPr="00C61DDB">
        <w:rPr>
          <w:rFonts w:ascii="Times New Roman" w:hAnsi="Times New Roman" w:cs="Times New Roman"/>
          <w:sz w:val="24"/>
          <w:szCs w:val="24"/>
        </w:rPr>
        <w:t>soti iskoristiti u jednoj proračunskoj godini, korištenje viška planira se višegodišnjim planom uravnoteženja za razdoblje za koje se proračun, odnosno financijki plan donosi. U prethodim godinama izrada višegodišnjeg plana uravnoteženja nije bila propisana Zakonom o proračunu, već je Ministarstvo financija u uputama za izradu proračuna davalo instrukcije za izradu višegodišnjeg plana uravnoteženja te akata koje je potrebno donijeti uz proračun odnosno fianncijski plan.</w:t>
      </w:r>
    </w:p>
    <w:p w:rsidR="00AE4F79" w:rsidRPr="00C61DDB" w:rsidRDefault="00AE4F79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4F79" w:rsidRPr="00C61DDB" w:rsidRDefault="00AE4F79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lastRenderedPageBreak/>
        <w:t>3.5. Usvajanje prijedloga financijskog plana od strane upravljačkih tijela u proračunskim i izvanproračunskim korsnicima</w:t>
      </w:r>
    </w:p>
    <w:p w:rsidR="00216749" w:rsidRDefault="00216749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4F79" w:rsidRPr="00C61DDB" w:rsidRDefault="00AE4F79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>Člankom 38. stavkom 2. i člankom 39. stavkom 2 novog Zakona o proračunu propisano je da čelnik proračunskog i izvanproračunskog korsnika prije dostave prijedloga financijskog plana nadležnom upravnom tijelu, obavezan isti uputiti i svom upravljačlom tijelu na usvajanje. Zakonom o proračunu ja dalje uređeno da ako postoje razlike u financijskom p</w:t>
      </w:r>
      <w:r w:rsidR="0091164D">
        <w:rPr>
          <w:rFonts w:ascii="Times New Roman" w:hAnsi="Times New Roman" w:cs="Times New Roman"/>
          <w:sz w:val="24"/>
          <w:szCs w:val="24"/>
        </w:rPr>
        <w:t>lanu</w:t>
      </w:r>
      <w:r w:rsidRPr="00C61DDB">
        <w:rPr>
          <w:rFonts w:ascii="Times New Roman" w:hAnsi="Times New Roman" w:cs="Times New Roman"/>
          <w:sz w:val="24"/>
          <w:szCs w:val="24"/>
        </w:rPr>
        <w:t xml:space="preserve"> </w:t>
      </w:r>
      <w:r w:rsidR="008E3D55" w:rsidRPr="00C61DDB">
        <w:rPr>
          <w:rFonts w:ascii="Times New Roman" w:hAnsi="Times New Roman" w:cs="Times New Roman"/>
          <w:sz w:val="24"/>
          <w:szCs w:val="24"/>
        </w:rPr>
        <w:t xml:space="preserve">proračunskog i izvanproračunskog korsnika sadržanom u proračunu koji je usvojilo predstavničko tijelo u odnosu na već usvojeni prejedlog </w:t>
      </w:r>
      <w:r w:rsidR="0091164D">
        <w:rPr>
          <w:rFonts w:ascii="Times New Roman" w:hAnsi="Times New Roman" w:cs="Times New Roman"/>
          <w:sz w:val="24"/>
          <w:szCs w:val="24"/>
        </w:rPr>
        <w:t>fi</w:t>
      </w:r>
      <w:r w:rsidR="008E3D55" w:rsidRPr="00C61DDB">
        <w:rPr>
          <w:rFonts w:ascii="Times New Roman" w:hAnsi="Times New Roman" w:cs="Times New Roman"/>
          <w:sz w:val="24"/>
          <w:szCs w:val="24"/>
        </w:rPr>
        <w:t>nancijskog plana od strane njego</w:t>
      </w:r>
      <w:r w:rsidR="0091164D">
        <w:rPr>
          <w:rFonts w:ascii="Times New Roman" w:hAnsi="Times New Roman" w:cs="Times New Roman"/>
          <w:sz w:val="24"/>
          <w:szCs w:val="24"/>
        </w:rPr>
        <w:t>v</w:t>
      </w:r>
      <w:r w:rsidR="008E3D55" w:rsidRPr="00C61DDB">
        <w:rPr>
          <w:rFonts w:ascii="Times New Roman" w:hAnsi="Times New Roman" w:cs="Times New Roman"/>
          <w:sz w:val="24"/>
          <w:szCs w:val="24"/>
        </w:rPr>
        <w:t>og upravljačkog tijela, upravljačo tijelo usvaja financijski plan koji je sadržan u proačunu koji je usvojilo predstavničko tijelo. Ako postoje razlike u financijskom planu proračunskog i izvanproračunskog korisnika na koje je predstavničko tijelo dalo suglasnot u odnosu na već usvojeni prijedlog financijsko plana od strane upravljačkog tijela, upravljačo tijelo usvaja financijski plan na koji je predstavničko tijelo dalo suglasnot.</w:t>
      </w:r>
    </w:p>
    <w:p w:rsidR="008E3D55" w:rsidRPr="00C61DDB" w:rsidRDefault="008E3D55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3D55" w:rsidRPr="00C61DDB" w:rsidRDefault="008E3D55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 xml:space="preserve"> 3.6. Obrazloženje-sastavni dio proračuna i financijskog plana</w:t>
      </w:r>
    </w:p>
    <w:p w:rsidR="00216749" w:rsidRDefault="00216749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3D55" w:rsidRPr="00C61DDB" w:rsidRDefault="008E3D55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 xml:space="preserve">Sadržaj proračuna, sukladno članku 31. novog Zakona o proračunu, dopunjen je na način da obrazloženje postaje sastavni dio proračuna kako na državnoj tako i na razini jedinica lokalne i područne (regionalne) samouprave. </w:t>
      </w:r>
      <w:r w:rsidR="005813AA" w:rsidRPr="00C61DDB">
        <w:rPr>
          <w:rFonts w:ascii="Times New Roman" w:hAnsi="Times New Roman" w:cs="Times New Roman"/>
          <w:sz w:val="24"/>
          <w:szCs w:val="24"/>
        </w:rPr>
        <w:t>O</w:t>
      </w:r>
      <w:r w:rsidRPr="00C61DDB">
        <w:rPr>
          <w:rFonts w:ascii="Times New Roman" w:hAnsi="Times New Roman" w:cs="Times New Roman"/>
          <w:sz w:val="24"/>
          <w:szCs w:val="24"/>
        </w:rPr>
        <w:t>brazloženje općeg dijela proračuna jedinica lokalne područne (regionalne) samouprave sukladnom odredbama novog Zakona o proračunu sadrži:</w:t>
      </w:r>
    </w:p>
    <w:p w:rsidR="008A0616" w:rsidRPr="00C61DDB" w:rsidRDefault="008E3D55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 xml:space="preserve">obrazloženje prihoda i rashoda, primitaka i izdataka proračuna jedinica </w:t>
      </w:r>
      <w:r w:rsidR="005813AA" w:rsidRPr="00C61DDB">
        <w:rPr>
          <w:rFonts w:ascii="Times New Roman" w:hAnsi="Times New Roman" w:cs="Times New Roman"/>
          <w:sz w:val="24"/>
          <w:szCs w:val="24"/>
        </w:rPr>
        <w:t>lokalne i područne (regionalne</w:t>
      </w:r>
      <w:r w:rsidR="0091164D">
        <w:rPr>
          <w:rFonts w:ascii="Times New Roman" w:hAnsi="Times New Roman" w:cs="Times New Roman"/>
          <w:sz w:val="24"/>
          <w:szCs w:val="24"/>
        </w:rPr>
        <w:t>)</w:t>
      </w:r>
      <w:r w:rsidR="005813AA" w:rsidRPr="00C61DDB">
        <w:rPr>
          <w:rFonts w:ascii="Times New Roman" w:hAnsi="Times New Roman" w:cs="Times New Roman"/>
          <w:sz w:val="24"/>
          <w:szCs w:val="24"/>
        </w:rPr>
        <w:t xml:space="preserve"> </w:t>
      </w:r>
      <w:r w:rsidRPr="00C61DDB">
        <w:rPr>
          <w:rFonts w:ascii="Times New Roman" w:hAnsi="Times New Roman" w:cs="Times New Roman"/>
          <w:sz w:val="24"/>
          <w:szCs w:val="24"/>
        </w:rPr>
        <w:t xml:space="preserve"> samouprave, obrazloženje prenesenog manjka odnosno viška proračuna jedinice područne (regionalne) samouprave. Obrazloženje posebnog dijela proračuna </w:t>
      </w:r>
      <w:r w:rsidR="008A0616" w:rsidRPr="00C61DDB">
        <w:rPr>
          <w:rFonts w:ascii="Times New Roman" w:hAnsi="Times New Roman" w:cs="Times New Roman"/>
          <w:sz w:val="24"/>
          <w:szCs w:val="24"/>
        </w:rPr>
        <w:t>temelji se na obrazloženju finacijskih planova proračunskih korisnika, a sastoji se od obrazloženja programa koje se daje kroz obrazloženje aktivnosti i projekata zajedno s ciljevima i pokazateljima uspješnosti iz akta starteškog planiranja.</w:t>
      </w:r>
    </w:p>
    <w:p w:rsidR="008A0616" w:rsidRPr="00C61DDB" w:rsidRDefault="008A0616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>Novi Zakon o proračunu propisuje u čalnku 36. obvezu proračunskim i izvanproračunskim korisnicima izradu obrazloženja i to obrazloženja uz opći dio financijkog plana i obrazloženja uz posebni dio financijkog plana. Obrazloženje općeg dijela financijskog plana proračunskog i izvanproračunskog korsnika sadrži obrazloženje prihoda i rashoda, primitaka i izdataka te obrazloženje prenesenog manjka odnosno viška. Obrazloženje posebnog dijela proračuna daje se k</w:t>
      </w:r>
      <w:r w:rsidR="0091164D">
        <w:rPr>
          <w:rFonts w:ascii="Times New Roman" w:hAnsi="Times New Roman" w:cs="Times New Roman"/>
          <w:sz w:val="24"/>
          <w:szCs w:val="24"/>
        </w:rPr>
        <w:t>roz</w:t>
      </w:r>
      <w:r w:rsidRPr="00C61DDB">
        <w:rPr>
          <w:rFonts w:ascii="Times New Roman" w:hAnsi="Times New Roman" w:cs="Times New Roman"/>
          <w:sz w:val="24"/>
          <w:szCs w:val="24"/>
        </w:rPr>
        <w:t xml:space="preserve"> obrazloženje programa koji se iskazu</w:t>
      </w:r>
      <w:r w:rsidR="0091164D">
        <w:rPr>
          <w:rFonts w:ascii="Times New Roman" w:hAnsi="Times New Roman" w:cs="Times New Roman"/>
          <w:sz w:val="24"/>
          <w:szCs w:val="24"/>
        </w:rPr>
        <w:t>j</w:t>
      </w:r>
      <w:r w:rsidRPr="00C61DDB">
        <w:rPr>
          <w:rFonts w:ascii="Times New Roman" w:hAnsi="Times New Roman" w:cs="Times New Roman"/>
          <w:sz w:val="24"/>
          <w:szCs w:val="24"/>
        </w:rPr>
        <w:t>u kroz obrazloženje aktivnosti i programa, zajedno s ciljevima i pokazateljima uspješnosti iz akta o strateškom planiranju.</w:t>
      </w:r>
    </w:p>
    <w:p w:rsidR="008A0616" w:rsidRPr="00C61DDB" w:rsidRDefault="008A0616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A0616" w:rsidRPr="00C61DDB" w:rsidRDefault="008A0616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3.7. Predlaganje amandmana na proračun jedinice lokalne i područne (regionalne) samouprave i financijskih planova proračunskih i izvanproračunskih korisnika</w:t>
      </w:r>
    </w:p>
    <w:p w:rsidR="00216749" w:rsidRDefault="00216749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A0616" w:rsidRPr="00C61DDB" w:rsidRDefault="00216749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A0616" w:rsidRPr="00C61DDB">
        <w:rPr>
          <w:rFonts w:ascii="Times New Roman" w:hAnsi="Times New Roman" w:cs="Times New Roman"/>
          <w:sz w:val="24"/>
          <w:szCs w:val="24"/>
        </w:rPr>
        <w:t>lankom 41. Zakona o proračunu detaljno uređeno predlaganje amandmana na način da se mogu podnosti amandmani kojima se predlaže:</w:t>
      </w:r>
    </w:p>
    <w:p w:rsidR="00216749" w:rsidRDefault="00216749" w:rsidP="002167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0616" w:rsidRPr="00C61DDB">
        <w:rPr>
          <w:rFonts w:ascii="Times New Roman" w:hAnsi="Times New Roman" w:cs="Times New Roman"/>
          <w:sz w:val="24"/>
          <w:szCs w:val="24"/>
        </w:rPr>
        <w:t>povećanje proračunskih rashoda iznad iznosa utvrđenih prijedlogom proračuna jedinice lokalne i područne (regionalne) samouprave i financijski</w:t>
      </w:r>
      <w:r w:rsidR="00D91135" w:rsidRPr="00C61DDB">
        <w:rPr>
          <w:rFonts w:ascii="Times New Roman" w:hAnsi="Times New Roman" w:cs="Times New Roman"/>
          <w:sz w:val="24"/>
          <w:szCs w:val="24"/>
        </w:rPr>
        <w:t xml:space="preserve">m planom proračunskog i izvanproračunskog korsnika pod uvjetom da se istodobno predloži samanjenje drugih rashoda u istom iznosu i unutar istih izvora financiranja u posebnom dijelu proračuna ili financijskog plana. </w:t>
      </w:r>
    </w:p>
    <w:p w:rsidR="008A0616" w:rsidRPr="00C61DDB" w:rsidRDefault="00D91135" w:rsidP="002167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 xml:space="preserve">Navedenim se osigurava da prijedlozi amandmana ne smiju mijenjati predviđeni manjak, odnosno višak utvrđen u prijedlogu proračuna, donosno financijkim </w:t>
      </w:r>
      <w:r w:rsidR="0091164D">
        <w:rPr>
          <w:rFonts w:ascii="Times New Roman" w:hAnsi="Times New Roman" w:cs="Times New Roman"/>
          <w:sz w:val="24"/>
          <w:szCs w:val="24"/>
        </w:rPr>
        <w:t>planom. Kao i po starom zakonu o</w:t>
      </w:r>
      <w:r w:rsidRPr="00C61DDB">
        <w:rPr>
          <w:rFonts w:ascii="Times New Roman" w:hAnsi="Times New Roman" w:cs="Times New Roman"/>
          <w:sz w:val="24"/>
          <w:szCs w:val="24"/>
        </w:rPr>
        <w:t xml:space="preserve"> proračunu novima Zakonom o proračunu propisano je da prijedlozi amandmana na proračun jedinice lokalne i područne (regionalne) samouprave ne smiju biti na teret proračunske zalihe, na teret dodatnog zaduženja ili već prije preuzetih obveza.</w:t>
      </w:r>
    </w:p>
    <w:p w:rsidR="00D91135" w:rsidRPr="00C61DDB" w:rsidRDefault="00D91135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45632" w:rsidRDefault="00945632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632" w:rsidRDefault="00945632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135" w:rsidRPr="00C61DDB" w:rsidRDefault="00D91135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3.8. Transparentost proračuna</w:t>
      </w:r>
    </w:p>
    <w:p w:rsidR="00216749" w:rsidRDefault="00216749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1135" w:rsidRPr="00850058" w:rsidRDefault="00216749" w:rsidP="00896B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0058">
        <w:rPr>
          <w:rFonts w:ascii="Times New Roman" w:hAnsi="Times New Roman" w:cs="Times New Roman"/>
          <w:sz w:val="24"/>
          <w:szCs w:val="24"/>
        </w:rPr>
        <w:t>Z</w:t>
      </w:r>
      <w:r w:rsidR="00D91135" w:rsidRPr="00850058">
        <w:rPr>
          <w:rFonts w:ascii="Times New Roman" w:hAnsi="Times New Roman" w:cs="Times New Roman"/>
          <w:sz w:val="24"/>
          <w:szCs w:val="24"/>
        </w:rPr>
        <w:t>akonom o proračunu je propisana obveza objave proračuna i financijskih planovi ostale dokumentacije na mrežnim stranicama jedinice lokalne i pdoručne (regionalne) samouprave i proračunskih i izvanproračunskih korisnika.</w:t>
      </w:r>
    </w:p>
    <w:p w:rsidR="000B551B" w:rsidRPr="00850058" w:rsidRDefault="000B551B" w:rsidP="00896B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6749" w:rsidRPr="00896BD8" w:rsidRDefault="00216749" w:rsidP="00896B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6BD8">
        <w:rPr>
          <w:rFonts w:ascii="Times New Roman" w:hAnsi="Times New Roman" w:cs="Times New Roman"/>
          <w:sz w:val="24"/>
          <w:szCs w:val="24"/>
        </w:rPr>
        <w:t xml:space="preserve">Sukladno odredbama  članka 144. Zakona o proračunu u nastavku navodimo sve obveze </w:t>
      </w:r>
      <w:r w:rsidR="00850058" w:rsidRPr="00896BD8">
        <w:rPr>
          <w:rFonts w:ascii="Times New Roman" w:hAnsi="Times New Roman" w:cs="Times New Roman"/>
          <w:sz w:val="24"/>
          <w:szCs w:val="24"/>
        </w:rPr>
        <w:t>v</w:t>
      </w:r>
      <w:r w:rsidRPr="00896BD8">
        <w:rPr>
          <w:rFonts w:ascii="Times New Roman" w:hAnsi="Times New Roman" w:cs="Times New Roman"/>
          <w:sz w:val="24"/>
          <w:szCs w:val="24"/>
        </w:rPr>
        <w:t>ezane uz transparentnost:</w:t>
      </w:r>
    </w:p>
    <w:p w:rsidR="00850058" w:rsidRPr="00896BD8" w:rsidRDefault="00850058" w:rsidP="00896B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6BD8">
        <w:rPr>
          <w:rFonts w:ascii="Times New Roman" w:hAnsi="Times New Roman" w:cs="Times New Roman"/>
          <w:sz w:val="24"/>
          <w:szCs w:val="24"/>
        </w:rPr>
        <w:sym w:font="Symbol" w:char="F0B7"/>
      </w:r>
      <w:r w:rsidR="00896BD8" w:rsidRPr="00896BD8">
        <w:rPr>
          <w:rFonts w:ascii="Times New Roman" w:hAnsi="Times New Roman" w:cs="Times New Roman"/>
          <w:sz w:val="24"/>
          <w:szCs w:val="24"/>
        </w:rPr>
        <w:t xml:space="preserve"> </w:t>
      </w:r>
      <w:r w:rsidRPr="00896BD8">
        <w:rPr>
          <w:rFonts w:ascii="Times New Roman" w:hAnsi="Times New Roman" w:cs="Times New Roman"/>
          <w:sz w:val="24"/>
          <w:szCs w:val="24"/>
        </w:rPr>
        <w:t xml:space="preserve"> Proračun i izmjene i dopune proračuna, odluka o privremenom financiranju, odluka i izmjene i dopune odluke o izvršavanju proračuna jedinica lokalne i područne (regionalne) samouprave, financijski planovi i izmjene i dopune financijskih planova izvanproračunskih korisnika, polugodišnji i godišnji izvještaj o izvršenju proračuna te polugodišnji i godišnji izvještaj o izvršenju financijskog plana izvanproračunskog korisnika objavljuju se na mrežnim stranicama jedinica lokalne i područne (regionalne) samouprave</w:t>
      </w:r>
      <w:r w:rsidR="00896BD8" w:rsidRPr="00896BD8">
        <w:rPr>
          <w:rFonts w:ascii="Times New Roman" w:hAnsi="Times New Roman" w:cs="Times New Roman"/>
          <w:sz w:val="24"/>
          <w:szCs w:val="24"/>
        </w:rPr>
        <w:t xml:space="preserve"> i izvanproračunskog korisnika.</w:t>
      </w:r>
    </w:p>
    <w:p w:rsidR="00850058" w:rsidRPr="00896BD8" w:rsidRDefault="00850058" w:rsidP="00896B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6BD8">
        <w:rPr>
          <w:rFonts w:ascii="Times New Roman" w:hAnsi="Times New Roman" w:cs="Times New Roman"/>
          <w:sz w:val="24"/>
          <w:szCs w:val="24"/>
        </w:rPr>
        <w:sym w:font="Symbol" w:char="F0B7"/>
      </w:r>
      <w:r w:rsidRPr="00896BD8">
        <w:rPr>
          <w:rFonts w:ascii="Times New Roman" w:hAnsi="Times New Roman" w:cs="Times New Roman"/>
          <w:sz w:val="24"/>
          <w:szCs w:val="24"/>
        </w:rPr>
        <w:t xml:space="preserve"> Financijski plan i izmjene i dopune financijskog plana, polugodišnji i godišnji izvještaj o izvršenju financijskog plana proračunskog korisnika objavljuje se na njegovim mrežnim stranicama, odnosno na mrežnim stranicama jedinica lokalne i područne (regionalne) samouprave ako proračunski korisnik nema svoje mrežne stranice, </w:t>
      </w:r>
    </w:p>
    <w:p w:rsidR="00850058" w:rsidRPr="00896BD8" w:rsidRDefault="00850058" w:rsidP="00896B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6BD8">
        <w:rPr>
          <w:rFonts w:ascii="Times New Roman" w:hAnsi="Times New Roman" w:cs="Times New Roman"/>
          <w:sz w:val="24"/>
          <w:szCs w:val="24"/>
        </w:rPr>
        <w:sym w:font="Symbol" w:char="F0B7"/>
      </w:r>
      <w:r w:rsidRPr="00896BD8">
        <w:rPr>
          <w:rFonts w:ascii="Times New Roman" w:hAnsi="Times New Roman" w:cs="Times New Roman"/>
          <w:sz w:val="24"/>
          <w:szCs w:val="24"/>
        </w:rPr>
        <w:t xml:space="preserve"> Opći i posebni dio proračuna, odluka o izvršavanju proračuna jedinica lokalne i područne (regionalne) samouprave, izmjene i dopune proračuna te izmjene i dopune odluke o izvršavanju proračuna, odluka o privremenom financiranju te opći i posebni dio polugodišnjeg i godišnjeg izvještaja o izvršenju proračuna objavljuju se u službenom glasilu jedinica lokalne i područne (regionalne) samouprave, </w:t>
      </w:r>
    </w:p>
    <w:p w:rsidR="00850058" w:rsidRPr="00896BD8" w:rsidRDefault="00850058" w:rsidP="00896B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6BD8">
        <w:rPr>
          <w:rFonts w:ascii="Times New Roman" w:hAnsi="Times New Roman" w:cs="Times New Roman"/>
          <w:sz w:val="24"/>
          <w:szCs w:val="24"/>
        </w:rPr>
        <w:sym w:font="Symbol" w:char="F0B7"/>
      </w:r>
      <w:r w:rsidRPr="00896BD8">
        <w:rPr>
          <w:rFonts w:ascii="Times New Roman" w:hAnsi="Times New Roman" w:cs="Times New Roman"/>
          <w:sz w:val="24"/>
          <w:szCs w:val="24"/>
        </w:rPr>
        <w:t xml:space="preserve"> Opći i posebni dio polugodišnjeg i godišnjeg izvještaja o izvršenju financijskog plana izvanproračunskog korisnika objavljuju se u službenom glasilu jedinica lokalne i područne (regionalne) samouprave, </w:t>
      </w:r>
    </w:p>
    <w:p w:rsidR="00850058" w:rsidRPr="00896BD8" w:rsidRDefault="00850058" w:rsidP="00896B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6BD8">
        <w:rPr>
          <w:rFonts w:ascii="Times New Roman" w:hAnsi="Times New Roman" w:cs="Times New Roman"/>
          <w:sz w:val="24"/>
          <w:szCs w:val="24"/>
        </w:rPr>
        <w:sym w:font="Symbol" w:char="F0B7"/>
      </w:r>
      <w:r w:rsidRPr="00896BD8">
        <w:rPr>
          <w:rFonts w:ascii="Times New Roman" w:hAnsi="Times New Roman" w:cs="Times New Roman"/>
          <w:sz w:val="24"/>
          <w:szCs w:val="24"/>
        </w:rPr>
        <w:t xml:space="preserve"> Vodič za građane o proračunu, izmjenama i dopunama proračuna te polugodišnjem i godišnjem izvještaju o izvršenju proračuna objavljuje se na mrežnim stranicama jedinica lokalne i područne (regionalne) samouprave. </w:t>
      </w:r>
    </w:p>
    <w:p w:rsidR="00850058" w:rsidRPr="00896BD8" w:rsidRDefault="00850058" w:rsidP="00896BD8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0058" w:rsidRPr="00896BD8" w:rsidRDefault="00850058" w:rsidP="00896B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6BD8">
        <w:rPr>
          <w:rFonts w:ascii="Times New Roman" w:hAnsi="Times New Roman" w:cs="Times New Roman"/>
          <w:sz w:val="24"/>
          <w:szCs w:val="24"/>
        </w:rPr>
        <w:t xml:space="preserve">U skladu sa dosadašnjom praksom, a vezano za transparentnost proračuna, Ministarstvo financija i dalje preporuča jedinicama lokalne i područne (regionalne) samouprave da na svojim mrežnim stranicama: </w:t>
      </w:r>
    </w:p>
    <w:p w:rsidR="00850058" w:rsidRPr="00896BD8" w:rsidRDefault="00850058" w:rsidP="00896B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50058" w:rsidRPr="00896BD8" w:rsidRDefault="00850058" w:rsidP="00896B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6BD8">
        <w:rPr>
          <w:rFonts w:ascii="Times New Roman" w:hAnsi="Times New Roman" w:cs="Times New Roman"/>
          <w:sz w:val="24"/>
          <w:szCs w:val="24"/>
        </w:rPr>
        <w:sym w:font="Symbol" w:char="F0B7"/>
      </w:r>
      <w:r w:rsidRPr="00896BD8">
        <w:rPr>
          <w:rFonts w:ascii="Times New Roman" w:hAnsi="Times New Roman" w:cs="Times New Roman"/>
          <w:sz w:val="24"/>
          <w:szCs w:val="24"/>
        </w:rPr>
        <w:t xml:space="preserve"> sve ključne proračunske dokumente (a posebice prijedlog proračuna, izglasani proračun, izmjene i dopune proračuna, proračunski vodič, polugodišnji i godišnji izvještaji o izvršenju proračuna) objavljuju u jedinstvenom folderu nazvanom PRORAČUN, na kojeg postoji direktan link s naslovne stranice, </w:t>
      </w:r>
    </w:p>
    <w:p w:rsidR="00850058" w:rsidRPr="00896BD8" w:rsidRDefault="00850058" w:rsidP="00896B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6BD8">
        <w:rPr>
          <w:rFonts w:ascii="Times New Roman" w:hAnsi="Times New Roman" w:cs="Times New Roman"/>
          <w:sz w:val="24"/>
          <w:szCs w:val="24"/>
        </w:rPr>
        <w:sym w:font="Symbol" w:char="F0B7"/>
      </w:r>
      <w:r w:rsidRPr="00896BD8">
        <w:rPr>
          <w:rFonts w:ascii="Times New Roman" w:hAnsi="Times New Roman" w:cs="Times New Roman"/>
          <w:sz w:val="24"/>
          <w:szCs w:val="24"/>
        </w:rPr>
        <w:t xml:space="preserve"> pri objavi prijedloga proračuna, izglasanog proračuna te izmjena i dopuna proračuna objavljuju kompletan sadržaj tih proračunskih dokumenata (opći i posebni dio proračuna), </w:t>
      </w:r>
    </w:p>
    <w:p w:rsidR="00850058" w:rsidRPr="00896BD8" w:rsidRDefault="00850058" w:rsidP="00896B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6BD8">
        <w:rPr>
          <w:rFonts w:ascii="Times New Roman" w:hAnsi="Times New Roman" w:cs="Times New Roman"/>
          <w:sz w:val="24"/>
          <w:szCs w:val="24"/>
        </w:rPr>
        <w:sym w:font="Symbol" w:char="F0B7"/>
      </w:r>
      <w:r w:rsidRPr="00896BD8">
        <w:rPr>
          <w:rFonts w:ascii="Times New Roman" w:hAnsi="Times New Roman" w:cs="Times New Roman"/>
          <w:sz w:val="24"/>
          <w:szCs w:val="24"/>
        </w:rPr>
        <w:t xml:space="preserve"> usvojeni proračuni objavljuju, sukladno odredbama Zakona o proračunu, za proračunsku godinu i za sljedeće dvije godine na drugoj razini računskoga plana (na razini skupine) i </w:t>
      </w:r>
    </w:p>
    <w:p w:rsidR="00850058" w:rsidRPr="00896BD8" w:rsidRDefault="00850058" w:rsidP="00896BD8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6BD8">
        <w:rPr>
          <w:rFonts w:ascii="Times New Roman" w:hAnsi="Times New Roman" w:cs="Times New Roman"/>
          <w:sz w:val="24"/>
          <w:szCs w:val="24"/>
        </w:rPr>
        <w:sym w:font="Symbol" w:char="F0B7"/>
      </w:r>
      <w:r w:rsidRPr="00896BD8">
        <w:rPr>
          <w:rFonts w:ascii="Times New Roman" w:hAnsi="Times New Roman" w:cs="Times New Roman"/>
          <w:sz w:val="24"/>
          <w:szCs w:val="24"/>
        </w:rPr>
        <w:t xml:space="preserve"> proračunske vodiče za građane, na zahtjev građana, distribuiraju građanima svake godine u obliku brošure (fizičke i elektroničke), o trošku proračuna.</w:t>
      </w:r>
    </w:p>
    <w:p w:rsidR="00850058" w:rsidRDefault="00850058" w:rsidP="00896BD8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6BD8">
        <w:rPr>
          <w:rFonts w:ascii="Times New Roman" w:hAnsi="Times New Roman" w:cs="Times New Roman"/>
          <w:color w:val="000000"/>
          <w:sz w:val="24"/>
          <w:szCs w:val="24"/>
        </w:rPr>
        <w:t xml:space="preserve">Zakonom o lokalnoj i područnoj (regionalnoj) samoupravi propisano je da su općina, grad i županija </w:t>
      </w:r>
      <w:r w:rsidRPr="00896B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dužne </w:t>
      </w:r>
      <w:r w:rsidRPr="00896BD8">
        <w:rPr>
          <w:rFonts w:ascii="Times New Roman" w:hAnsi="Times New Roman" w:cs="Times New Roman"/>
          <w:color w:val="000000"/>
          <w:sz w:val="24"/>
          <w:szCs w:val="24"/>
        </w:rPr>
        <w:t xml:space="preserve">na svojim mrežnim stranicama </w:t>
      </w:r>
      <w:r w:rsidRPr="00896B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javno objaviti informacije o trošenju proračunskih sredstava </w:t>
      </w:r>
      <w:r w:rsidRPr="00896BD8">
        <w:rPr>
          <w:rFonts w:ascii="Times New Roman" w:hAnsi="Times New Roman" w:cs="Times New Roman"/>
          <w:color w:val="000000"/>
          <w:sz w:val="24"/>
          <w:szCs w:val="24"/>
        </w:rPr>
        <w:t xml:space="preserve">tako da te informacije budu lako dostupne i pretražive. Zakonom o </w:t>
      </w:r>
      <w:r w:rsidRPr="00896B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proračunu također je propisano da </w:t>
      </w:r>
      <w:r w:rsidRPr="00896BD8">
        <w:rPr>
          <w:rFonts w:ascii="Times New Roman" w:hAnsi="Times New Roman" w:cs="Times New Roman"/>
          <w:bCs/>
          <w:color w:val="000000"/>
          <w:sz w:val="24"/>
          <w:szCs w:val="24"/>
        </w:rPr>
        <w:t>su jedinice lokalne i područne (regionalne) samouprave, proračunski i izvanproračunski korisnici dužni javno objavljivati informacije o trošenju sredstava na svojim mrežnim stranicama na način da te informacije budu lako dostupne, pretražive i strojno čitljive.</w:t>
      </w:r>
    </w:p>
    <w:p w:rsidR="00896BD8" w:rsidRDefault="00896BD8" w:rsidP="00896BD8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96BD8" w:rsidRDefault="00896BD8" w:rsidP="00896BD8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6B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3.9. Novosti u planiranju za razdoblje od 2026-2028.godine</w:t>
      </w:r>
    </w:p>
    <w:p w:rsidR="00896BD8" w:rsidRDefault="00896BD8" w:rsidP="00896BD8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6BD8" w:rsidRDefault="00896BD8" w:rsidP="00896BD8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3.9.1 Izmjene propisa iz proračunske regulative</w:t>
      </w:r>
    </w:p>
    <w:p w:rsidR="002465D4" w:rsidRDefault="002465D4" w:rsidP="002465D4">
      <w:pPr>
        <w:pStyle w:val="NoSpacing"/>
        <w:rPr>
          <w:rFonts w:ascii="CIDFont+F2" w:hAnsi="CIDFont+F2"/>
          <w:b/>
          <w:bCs/>
        </w:rPr>
      </w:pP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  <w:r w:rsidRPr="00633088">
        <w:rPr>
          <w:rFonts w:ascii="Times New Roman" w:hAnsi="Times New Roman"/>
          <w:b/>
          <w:bCs/>
          <w:sz w:val="24"/>
          <w:szCs w:val="24"/>
          <w:u w:val="single"/>
        </w:rPr>
        <w:t>Pravilnik o planiranju u sustavu proračuna u primjeni je od proračunskog procesa za razdoblje 2025. – 2027.</w:t>
      </w:r>
      <w:r w:rsidRPr="005D7A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 </w:t>
      </w:r>
      <w:r w:rsidRPr="005D7A90">
        <w:rPr>
          <w:rFonts w:ascii="Times New Roman" w:hAnsi="Times New Roman"/>
          <w:sz w:val="24"/>
          <w:szCs w:val="24"/>
        </w:rPr>
        <w:t>propisuje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5D7A90">
        <w:rPr>
          <w:rFonts w:ascii="Times New Roman" w:hAnsi="Times New Roman"/>
          <w:sz w:val="24"/>
          <w:szCs w:val="24"/>
        </w:rPr>
        <w:t>način primjene modificiranog novčanog načela, odnosno modificiranog obračunskog načela u postupku planiranja i izvršavanja proračuna i financijskog plana, izgled i sadržaj, dostava i objava proračuna odnosno financijskog plana, rebalansa proračuna i financijskog plana te uvjeti i pravila preraspodjele sredstava proračuna. Pravilnik u člancima 10. do 13., sadrži detaljne odredbe vezane uz primjenu modificiranog obračunskog načela u izradi proračuna jedinica lokalne i područne (regionalne) samouprave i financijskih planova. Sadržaj i izgled proračuna i financijskog plana propisan je člancima 14. do 24. te člancima 28. do 40. Pravilnika.</w:t>
      </w: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  <w:r w:rsidRPr="008B52E7">
        <w:rPr>
          <w:rFonts w:ascii="Times New Roman" w:hAnsi="Times New Roman"/>
          <w:sz w:val="24"/>
          <w:szCs w:val="24"/>
        </w:rPr>
        <w:t xml:space="preserve">U planiranju proračuna i financijskih planova za 2026. i projekcija za 2027. i 2028. koristi se ekonomska klasifikacija propisana </w:t>
      </w:r>
      <w:r w:rsidRPr="008B52E7">
        <w:rPr>
          <w:rFonts w:ascii="Times New Roman" w:hAnsi="Times New Roman"/>
          <w:b/>
          <w:bCs/>
          <w:sz w:val="24"/>
          <w:szCs w:val="24"/>
          <w:u w:val="single"/>
        </w:rPr>
        <w:t>Pravilnikom o proračunskom računovodstvu i Računskom planu.</w:t>
      </w:r>
      <w:r w:rsidRPr="008B52E7">
        <w:rPr>
          <w:rFonts w:ascii="Times New Roman" w:hAnsi="Times New Roman"/>
          <w:sz w:val="24"/>
          <w:szCs w:val="24"/>
        </w:rPr>
        <w:t xml:space="preserve"> U Uputama za izradu proračuna jedinica lokalne i područne (regionalne) samouprave za razdoblje 2025. - 2027. dan je detaljan prikaz izmjena računskog plana za potrebe procesa izrade proračuna i financijskih planova za razdoblje 2025.- 2027. u odnosu na do tada važeći.</w:t>
      </w: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  <w:r w:rsidRPr="00551071">
        <w:rPr>
          <w:rFonts w:ascii="Times New Roman" w:hAnsi="Times New Roman"/>
          <w:b/>
          <w:bCs/>
          <w:sz w:val="24"/>
          <w:szCs w:val="24"/>
          <w:u w:val="single"/>
        </w:rPr>
        <w:t>Pravilnik o korištenju sredstava Europske unije u primjeni je od proračunskog procesa za razdoblje 2025. -2027.</w:t>
      </w:r>
      <w:r w:rsidRPr="00FC73E3">
        <w:rPr>
          <w:rFonts w:ascii="Times New Roman" w:hAnsi="Times New Roman"/>
          <w:sz w:val="24"/>
          <w:szCs w:val="24"/>
        </w:rPr>
        <w:t xml:space="preserve"> a propisuje:</w:t>
      </w: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  <w:r w:rsidRPr="00FC73E3">
        <w:rPr>
          <w:rFonts w:ascii="Times New Roman" w:hAnsi="Times New Roman"/>
          <w:sz w:val="24"/>
          <w:szCs w:val="24"/>
        </w:rPr>
        <w:t xml:space="preserve"> </w:t>
      </w:r>
      <w:r w:rsidRPr="00FC73E3">
        <w:rPr>
          <w:rFonts w:ascii="Times New Roman" w:hAnsi="Times New Roman"/>
          <w:sz w:val="24"/>
          <w:szCs w:val="24"/>
        </w:rPr>
        <w:sym w:font="Symbol" w:char="F0B7"/>
      </w:r>
      <w:r w:rsidRPr="00FC73E3">
        <w:rPr>
          <w:rFonts w:ascii="Times New Roman" w:hAnsi="Times New Roman"/>
          <w:sz w:val="24"/>
          <w:szCs w:val="24"/>
        </w:rPr>
        <w:t xml:space="preserve"> način planiranja i izvršavanja sredstava Europske unije, </w:t>
      </w: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C73E3">
        <w:rPr>
          <w:rFonts w:ascii="Times New Roman" w:hAnsi="Times New Roman"/>
          <w:sz w:val="24"/>
          <w:szCs w:val="24"/>
        </w:rPr>
        <w:sym w:font="Symbol" w:char="F0B7"/>
      </w:r>
      <w:r w:rsidRPr="00FC73E3">
        <w:rPr>
          <w:rFonts w:ascii="Times New Roman" w:hAnsi="Times New Roman"/>
          <w:sz w:val="24"/>
          <w:szCs w:val="24"/>
        </w:rPr>
        <w:t xml:space="preserve"> povrat sredstava te </w:t>
      </w: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C73E3">
        <w:rPr>
          <w:rFonts w:ascii="Times New Roman" w:hAnsi="Times New Roman"/>
          <w:sz w:val="24"/>
          <w:szCs w:val="24"/>
        </w:rPr>
        <w:sym w:font="Symbol" w:char="F0B7"/>
      </w:r>
      <w:r w:rsidRPr="00FC73E3">
        <w:rPr>
          <w:rFonts w:ascii="Times New Roman" w:hAnsi="Times New Roman"/>
          <w:sz w:val="24"/>
          <w:szCs w:val="24"/>
        </w:rPr>
        <w:t xml:space="preserve"> evidentiranje i izvještavanje o sredstvima Europske unije u Republici Hrvatskoj.</w:t>
      </w: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  <w:r w:rsidRPr="005E3AFE">
        <w:rPr>
          <w:rFonts w:ascii="Times New Roman" w:hAnsi="Times New Roman"/>
          <w:b/>
          <w:bCs/>
          <w:sz w:val="24"/>
          <w:szCs w:val="24"/>
          <w:u w:val="single"/>
        </w:rPr>
        <w:t>U svibnju 2025. godine Ministarstvo financija izdalo je novu Uputu za računovodstveno evidentiranje sredstava Europske unije</w:t>
      </w:r>
      <w:r w:rsidRPr="005E3AFE">
        <w:rPr>
          <w:rFonts w:ascii="Times New Roman" w:hAnsi="Times New Roman"/>
          <w:sz w:val="24"/>
          <w:szCs w:val="24"/>
        </w:rPr>
        <w:t xml:space="preserve"> (dalje u tekstu Uputa EU). Uputa EU uređuje pravila za računovodstvene evidencije poslovnih promjena vezanih za upravljanje i korištenje EU sredstava koja su na raspolaganju Republici Hrvatskoj kroz programsko razdoblje 2021. – 2027. Uputa je dostupna u aplikaciji Ministarstva financija Financijsko izvještavanje u sustavu proračuna i Registar proračunskih i izvanproračunskih korisnika (RKPFI).</w:t>
      </w: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  <w:r w:rsidRPr="00900D28">
        <w:rPr>
          <w:rFonts w:ascii="Times New Roman" w:hAnsi="Times New Roman"/>
          <w:b/>
          <w:bCs/>
          <w:sz w:val="24"/>
          <w:szCs w:val="24"/>
          <w:u w:val="single"/>
        </w:rPr>
        <w:t>Pravilnik o proračunskim klasifikacijama donesen u siječnju 2025.</w:t>
      </w:r>
      <w:r w:rsidRPr="00900D28">
        <w:rPr>
          <w:rFonts w:ascii="Times New Roman" w:hAnsi="Times New Roman"/>
          <w:sz w:val="24"/>
          <w:szCs w:val="24"/>
        </w:rPr>
        <w:t xml:space="preserve"> u primjeni je od proračunskog ciklusa 2025. – 2027. U skladu s odredbama Pravilnika o proračunskim klasifikacijama iz siječnja 2025. kao i u skladu s prethodnim pravilnicima na razini državnog proračuna i proračuna jedinica lokalne i područne (regionalne) samouprave koristile su se obvezne oznake izvora financiranja isključivo na razini razreda i to na sljedeći način: 1 opći prihodi i primici 2 doprinosi 3 vlastiti prihodi 4 prihodi za posebne namjene 5 pomoći 6 donacije 7 prihodi od prodaje ili zamjene nefinancijske imovine i naknade s naslova osiguranja 8 namjenski primici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00D28">
        <w:rPr>
          <w:rFonts w:ascii="Times New Roman" w:hAnsi="Times New Roman"/>
          <w:sz w:val="24"/>
          <w:szCs w:val="24"/>
        </w:rPr>
        <w:t xml:space="preserve">Uz obvezne oznake izvora financiranja i na državnoj i na lokalnoj odnosno regionalnoj razini u prethodnom razdoblju postojale su vlastite oznake nižih razina izvora financiranja temeljene na Pravilniku o proračunskim klasifikacijama, a razvijene radi potrebe više ili manje detaljnog praćenja određenih izvora financiranja. Dodatne oznake </w:t>
      </w:r>
      <w:r w:rsidRPr="00900D28">
        <w:rPr>
          <w:rFonts w:ascii="Times New Roman" w:hAnsi="Times New Roman"/>
          <w:sz w:val="24"/>
          <w:szCs w:val="24"/>
        </w:rPr>
        <w:lastRenderedPageBreak/>
        <w:t>izvora financiranja za državnu razinu određivalo je Ministarstvo financija, a za regionalnu i lokalnu razinu upravno tijelo jedinice nadležno za financije.</w:t>
      </w: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  <w:r w:rsidRPr="00E03547">
        <w:rPr>
          <w:rFonts w:ascii="Times New Roman" w:hAnsi="Times New Roman"/>
          <w:b/>
          <w:bCs/>
          <w:sz w:val="24"/>
          <w:szCs w:val="24"/>
          <w:u w:val="single"/>
        </w:rPr>
        <w:t>Izmjenama i dopunama Pravilnika</w:t>
      </w:r>
      <w:r w:rsidRPr="00390984">
        <w:rPr>
          <w:rFonts w:ascii="Times New Roman" w:hAnsi="Times New Roman"/>
          <w:sz w:val="24"/>
          <w:szCs w:val="24"/>
        </w:rPr>
        <w:t xml:space="preserve"> proširena je obveza primjene jedinstvenih oznaka izvora financiranja na način da uz brojčane oznake i nazive razreda izvora financiranja koje su se do sada primjenjivale, od sada kao obvezne za primjenu postaju i: - brojčane oznake i nazivi skupina izvora financiranja (druga razina) te - određene podskupine izvora financiranja za EU sredstva (treća razina).</w:t>
      </w: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</w:p>
    <w:p w:rsidR="002465D4" w:rsidRDefault="002465D4" w:rsidP="002465D4">
      <w:pPr>
        <w:pStyle w:val="NoSpacing"/>
        <w:rPr>
          <w:rFonts w:ascii="Times New Roman" w:hAnsi="Times New Roman"/>
          <w:sz w:val="24"/>
          <w:szCs w:val="24"/>
        </w:rPr>
      </w:pPr>
      <w:r w:rsidRPr="00820423">
        <w:rPr>
          <w:rFonts w:ascii="Times New Roman" w:hAnsi="Times New Roman"/>
          <w:sz w:val="24"/>
          <w:szCs w:val="24"/>
        </w:rPr>
        <w:t xml:space="preserve">U nastavku se daje prikaz </w:t>
      </w:r>
      <w:r w:rsidRPr="00A268CD">
        <w:rPr>
          <w:rFonts w:ascii="Times New Roman" w:hAnsi="Times New Roman"/>
          <w:b/>
          <w:bCs/>
          <w:sz w:val="24"/>
          <w:szCs w:val="24"/>
          <w:u w:val="single"/>
        </w:rPr>
        <w:t>razreda i skupina izvora financiranja koje će se ujednačeno koristiti za sve jedinice lokalne i područne (regionalne) samouprave</w:t>
      </w:r>
      <w:r w:rsidRPr="00820423">
        <w:rPr>
          <w:rFonts w:ascii="Times New Roman" w:hAnsi="Times New Roman"/>
          <w:sz w:val="24"/>
          <w:szCs w:val="24"/>
        </w:rPr>
        <w:t xml:space="preserve"> na sljedeći način: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Opći prihodi i primici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 Vlastiti prihodi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 Prihodi od komunalne naknade i komunalnog doprinosa,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 Prihodi od spomeničke rente,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 Ostali prihodi za posebne namjene,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 Pomoći iz državnog proračuna,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 Programi Unije,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510 Programi Unije,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 Ostale pomoći,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 Darovnice,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 Europski poljoprivredni jamstveni fond (EAGF),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 Fondovi EU,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561 Europski socijalni fond plus,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562 Kohezijski fond,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563 Europski fond za regionalni razvoj,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564 Fond za pomorstvo, ribarstvo i akvakulturu,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565 Europski poljoprivredni fond za ruralni razvoj,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566 Modernizacijski fond,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567 Socijalni fond za klimatsku politiku,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 Ostali programi EU,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575 Fond za azil, migracije i integraciju,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577 Fond za pravednu tranziciju,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578 Fond za unutarnju sigurnost,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579 Fond za integrirano upravljanje granicama,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 Instrumenti EU nove generacije,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581 Mehanizam za oporavak i otpornost – bespovratna sredstva,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 Donacije,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 Prihodi od prodaje ili zamjene nefinancijske imovine i naknade s naslova osiguranja,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 Namjenski primici od zaduživanja,</w:t>
      </w:r>
    </w:p>
    <w:p w:rsidR="002465D4" w:rsidRDefault="002465D4" w:rsidP="002465D4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810 Namjenski primici od zaduživanja – ostali.</w:t>
      </w:r>
    </w:p>
    <w:p w:rsidR="002465D4" w:rsidRDefault="002465D4" w:rsidP="002465D4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2465D4" w:rsidRDefault="002465D4" w:rsidP="002465D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6004">
        <w:rPr>
          <w:rFonts w:ascii="Times New Roman" w:hAnsi="Times New Roman"/>
          <w:sz w:val="24"/>
          <w:szCs w:val="24"/>
        </w:rPr>
        <w:t>Uz prethodno propisane obvezne razrede, skupine i podskupine Pravilnikom su predviđene i dodatne analitičke oznake izvora financiranja vezane uz EU tijekove te dodatne analitičke oznake izvora financiranja za pomoći koje se doznačavaju iz državnog proračuna.</w:t>
      </w:r>
    </w:p>
    <w:p w:rsidR="002465D4" w:rsidRDefault="002465D4" w:rsidP="002465D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6004">
        <w:rPr>
          <w:rFonts w:ascii="Times New Roman" w:hAnsi="Times New Roman"/>
          <w:sz w:val="24"/>
          <w:szCs w:val="24"/>
        </w:rPr>
        <w:lastRenderedPageBreak/>
        <w:t xml:space="preserve">Pravilnikom je primjena </w:t>
      </w:r>
      <w:r w:rsidRPr="00AA6004">
        <w:rPr>
          <w:rFonts w:ascii="Times New Roman" w:hAnsi="Times New Roman"/>
          <w:b/>
          <w:bCs/>
          <w:sz w:val="24"/>
          <w:szCs w:val="24"/>
          <w:u w:val="single"/>
        </w:rPr>
        <w:t>obvezna u planiranju i izvršavanju proračuna i financijskog plana od proračunskog ciklusa za razdoblje 2026. – 2028.</w:t>
      </w:r>
      <w:r w:rsidRPr="00AA6004">
        <w:rPr>
          <w:rFonts w:ascii="Times New Roman" w:hAnsi="Times New Roman"/>
          <w:sz w:val="24"/>
          <w:szCs w:val="24"/>
        </w:rPr>
        <w:t xml:space="preserve"> za izvore financiranja unutar razreda 5 Pomoći i 8 Namjenski primici na sljedeći način: </w:t>
      </w:r>
    </w:p>
    <w:p w:rsidR="002465D4" w:rsidRDefault="002465D4" w:rsidP="002465D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6004">
        <w:rPr>
          <w:rFonts w:ascii="Times New Roman" w:hAnsi="Times New Roman"/>
          <w:sz w:val="24"/>
          <w:szCs w:val="24"/>
        </w:rPr>
        <w:sym w:font="Symbol" w:char="F0B7"/>
      </w:r>
      <w:r w:rsidRPr="00AA6004">
        <w:rPr>
          <w:rFonts w:ascii="Times New Roman" w:hAnsi="Times New Roman"/>
          <w:sz w:val="24"/>
          <w:szCs w:val="24"/>
        </w:rPr>
        <w:t xml:space="preserve"> 51 Programi Unije, 510 Programi Unije, </w:t>
      </w:r>
    </w:p>
    <w:p w:rsidR="002465D4" w:rsidRDefault="002465D4" w:rsidP="002465D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6004">
        <w:rPr>
          <w:rFonts w:ascii="Times New Roman" w:hAnsi="Times New Roman"/>
          <w:sz w:val="24"/>
          <w:szCs w:val="24"/>
        </w:rPr>
        <w:sym w:font="Symbol" w:char="F0B7"/>
      </w:r>
      <w:r w:rsidRPr="00AA6004">
        <w:rPr>
          <w:rFonts w:ascii="Times New Roman" w:hAnsi="Times New Roman"/>
          <w:sz w:val="24"/>
          <w:szCs w:val="24"/>
        </w:rPr>
        <w:t xml:space="preserve"> 56 Fondovi EU, 561 Europski socijalni fond plus, 562 Kohezijski fond, 563 Europski fond za regionalni razvoj, 564 Fond za pomorstvo, ribarstvo i akvakulturu, 565 Europski poljoprivredni fond za ruralni razvoj, 566 Modernizacijski fond, 567 Socijalni fond za klimatsku politiku, </w:t>
      </w:r>
    </w:p>
    <w:p w:rsidR="002465D4" w:rsidRDefault="002465D4" w:rsidP="002465D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6004">
        <w:rPr>
          <w:rFonts w:ascii="Times New Roman" w:hAnsi="Times New Roman"/>
          <w:sz w:val="24"/>
          <w:szCs w:val="24"/>
        </w:rPr>
        <w:sym w:font="Symbol" w:char="F0B7"/>
      </w:r>
      <w:r w:rsidRPr="00AA6004">
        <w:rPr>
          <w:rFonts w:ascii="Times New Roman" w:hAnsi="Times New Roman"/>
          <w:sz w:val="24"/>
          <w:szCs w:val="24"/>
        </w:rPr>
        <w:t xml:space="preserve"> 57 Ostali programi EU, 575 Fond za azil, migracije i integraciju, 577 Fond za pravednu tranziciju, 578 Fond za unutarnju sigurnost, 579 Fond za integrirano upravljanje granicama, </w:t>
      </w:r>
    </w:p>
    <w:p w:rsidR="002465D4" w:rsidRDefault="002465D4" w:rsidP="002465D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6004">
        <w:rPr>
          <w:rFonts w:ascii="Times New Roman" w:hAnsi="Times New Roman"/>
          <w:sz w:val="24"/>
          <w:szCs w:val="24"/>
        </w:rPr>
        <w:sym w:font="Symbol" w:char="F0B7"/>
      </w:r>
      <w:r w:rsidRPr="00AA6004">
        <w:rPr>
          <w:rFonts w:ascii="Times New Roman" w:hAnsi="Times New Roman"/>
          <w:sz w:val="24"/>
          <w:szCs w:val="24"/>
        </w:rPr>
        <w:t xml:space="preserve"> 58 Instrumenti EU nove generacije, 581 Mehanizam za oporavak i otpornost – bespovratna sredstva, </w:t>
      </w:r>
    </w:p>
    <w:p w:rsidR="002465D4" w:rsidRDefault="002465D4" w:rsidP="002465D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6004">
        <w:rPr>
          <w:rFonts w:ascii="Times New Roman" w:hAnsi="Times New Roman"/>
          <w:sz w:val="24"/>
          <w:szCs w:val="24"/>
        </w:rPr>
        <w:sym w:font="Symbol" w:char="F0B7"/>
      </w:r>
      <w:r w:rsidRPr="00AA6004">
        <w:rPr>
          <w:rFonts w:ascii="Times New Roman" w:hAnsi="Times New Roman"/>
          <w:sz w:val="24"/>
          <w:szCs w:val="24"/>
        </w:rPr>
        <w:t xml:space="preserve"> 5012 Pomoći iz državnog proračuna kroz nacionalno sufinanciranje EU projekata, 50815 Pomoći kroz namjenske primitke od zaduživanja – NPOO i </w:t>
      </w:r>
    </w:p>
    <w:p w:rsidR="002465D4" w:rsidRDefault="002465D4" w:rsidP="002465D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6004">
        <w:rPr>
          <w:rFonts w:ascii="Times New Roman" w:hAnsi="Times New Roman"/>
          <w:sz w:val="24"/>
          <w:szCs w:val="24"/>
        </w:rPr>
        <w:sym w:font="Symbol" w:char="F0B7"/>
      </w:r>
      <w:r w:rsidRPr="00AA6004">
        <w:rPr>
          <w:rFonts w:ascii="Times New Roman" w:hAnsi="Times New Roman"/>
          <w:sz w:val="24"/>
          <w:szCs w:val="24"/>
        </w:rPr>
        <w:t xml:space="preserve"> 810 Namjenski primici od zaduživanja – ostali zajedno sa dodatnim analitičkim oznakama izvora financiranja kako slijedi: </w:t>
      </w:r>
    </w:p>
    <w:p w:rsidR="002465D4" w:rsidRDefault="002465D4" w:rsidP="002465D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6004">
        <w:rPr>
          <w:rFonts w:ascii="Times New Roman" w:hAnsi="Times New Roman"/>
          <w:sz w:val="24"/>
          <w:szCs w:val="24"/>
        </w:rPr>
        <w:t xml:space="preserve">− 00 raspoloživ predujam ili unaprijed naplaćen prihod </w:t>
      </w:r>
    </w:p>
    <w:p w:rsidR="002465D4" w:rsidRDefault="002465D4" w:rsidP="002465D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6004">
        <w:rPr>
          <w:rFonts w:ascii="Times New Roman" w:hAnsi="Times New Roman"/>
          <w:sz w:val="24"/>
          <w:szCs w:val="24"/>
        </w:rPr>
        <w:t>− 11 predfinanciranje iz općih prihoda i primitaka</w:t>
      </w:r>
    </w:p>
    <w:p w:rsidR="002465D4" w:rsidRDefault="002465D4" w:rsidP="002465D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6004">
        <w:rPr>
          <w:rFonts w:ascii="Times New Roman" w:hAnsi="Times New Roman"/>
          <w:sz w:val="24"/>
          <w:szCs w:val="24"/>
        </w:rPr>
        <w:t xml:space="preserve">− 31 predfinanciranje iz vlastitih prihoda </w:t>
      </w:r>
    </w:p>
    <w:p w:rsidR="002465D4" w:rsidRDefault="002465D4" w:rsidP="002465D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6004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6004">
        <w:rPr>
          <w:rFonts w:ascii="Times New Roman" w:hAnsi="Times New Roman"/>
          <w:sz w:val="24"/>
          <w:szCs w:val="24"/>
        </w:rPr>
        <w:t xml:space="preserve">43 predfinanciranje iz ostalih prihoda za posebne namjene </w:t>
      </w:r>
    </w:p>
    <w:p w:rsidR="002465D4" w:rsidRDefault="002465D4" w:rsidP="002465D4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6004">
        <w:rPr>
          <w:rFonts w:ascii="Times New Roman" w:hAnsi="Times New Roman"/>
          <w:sz w:val="24"/>
          <w:szCs w:val="24"/>
        </w:rPr>
        <w:t>− 81 predfinanciranje iz namjenskih primitaka od zaduživanja</w:t>
      </w:r>
      <w:r>
        <w:rPr>
          <w:rFonts w:ascii="Times New Roman" w:hAnsi="Times New Roman"/>
          <w:sz w:val="24"/>
          <w:szCs w:val="24"/>
        </w:rPr>
        <w:t>.</w:t>
      </w:r>
    </w:p>
    <w:p w:rsidR="002465D4" w:rsidRPr="008850E8" w:rsidRDefault="002465D4" w:rsidP="002465D4">
      <w:pPr>
        <w:rPr>
          <w:rFonts w:ascii="CIDFont+F3" w:hAnsi="CIDFont+F3"/>
          <w:color w:val="000000"/>
        </w:rPr>
      </w:pPr>
    </w:p>
    <w:p w:rsidR="002465D4" w:rsidRDefault="002465D4" w:rsidP="002465D4">
      <w:pPr>
        <w:rPr>
          <w:rFonts w:cs="Arial"/>
          <w:b/>
          <w:bCs/>
          <w:color w:val="000000"/>
        </w:rPr>
      </w:pPr>
    </w:p>
    <w:p w:rsidR="000B551B" w:rsidRPr="000B551B" w:rsidRDefault="00850058" w:rsidP="00896BD8">
      <w:pPr>
        <w:jc w:val="both"/>
        <w:rPr>
          <w:rFonts w:ascii="Times New Roman" w:hAnsi="Times New Roman" w:cs="Times New Roman"/>
          <w:sz w:val="24"/>
          <w:szCs w:val="24"/>
        </w:rPr>
      </w:pPr>
      <w:r w:rsidRPr="00850058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</w:p>
    <w:p w:rsidR="000B551B" w:rsidRDefault="000B551B" w:rsidP="000B551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51B" w:rsidRPr="000B551B" w:rsidRDefault="000B551B" w:rsidP="002465D4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51B">
        <w:rPr>
          <w:rFonts w:ascii="Times New Roman" w:hAnsi="Times New Roman" w:cs="Times New Roman"/>
          <w:b/>
          <w:sz w:val="24"/>
          <w:szCs w:val="24"/>
        </w:rPr>
        <w:t>METODOLOGIJA IZRADE PRIJEDLOGA PRORAČUNA OPĆINE POSEDARJE</w:t>
      </w:r>
    </w:p>
    <w:p w:rsidR="00D91135" w:rsidRDefault="00D91135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5D4" w:rsidRDefault="002465D4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465D4">
        <w:rPr>
          <w:rFonts w:ascii="Times New Roman" w:hAnsi="Times New Roman" w:cs="Times New Roman"/>
          <w:sz w:val="24"/>
          <w:szCs w:val="24"/>
        </w:rPr>
        <w:t>Metodologija za izradu plana proračuna jedinice lokalne i područne (regionalne) samouprave propisana je Zakonom o proračunu i podzakonskim aktima kojuma se regulira provedba navedenog Zakona.</w:t>
      </w:r>
    </w:p>
    <w:p w:rsidR="002465D4" w:rsidRPr="002465D4" w:rsidRDefault="002465D4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Proračunski korisnik Općine Posedarje obavezan je izrađivati financijski plan u skaldu s odredbama Zakona o proračunu te se pridržavati ovih Uputa i Uputa za izradu plana proračuna jedinice lokalne i </w:t>
      </w:r>
      <w:r w:rsidR="00F23260">
        <w:rPr>
          <w:rFonts w:ascii="Times New Roman" w:hAnsi="Times New Roman" w:cs="Times New Roman"/>
          <w:sz w:val="24"/>
          <w:szCs w:val="24"/>
        </w:rPr>
        <w:t>područne (regionalne) samouprave Ministarstva financija.</w:t>
      </w:r>
    </w:p>
    <w:p w:rsidR="00EF70AB" w:rsidRDefault="00EF70AB" w:rsidP="002465D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0BE" w:rsidRPr="00C61DDB" w:rsidRDefault="002465D4" w:rsidP="002465D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</w:t>
      </w:r>
      <w:r w:rsidR="008A50B0">
        <w:rPr>
          <w:rFonts w:ascii="Times New Roman" w:hAnsi="Times New Roman" w:cs="Times New Roman"/>
          <w:b/>
          <w:sz w:val="24"/>
          <w:szCs w:val="24"/>
        </w:rPr>
        <w:t>.</w:t>
      </w:r>
      <w:r w:rsidR="00FC40BE" w:rsidRPr="00C61DDB">
        <w:rPr>
          <w:rFonts w:ascii="Times New Roman" w:hAnsi="Times New Roman" w:cs="Times New Roman"/>
          <w:b/>
          <w:sz w:val="24"/>
          <w:szCs w:val="24"/>
        </w:rPr>
        <w:t xml:space="preserve"> Sadržaj proračuna Općine Posedarje</w:t>
      </w:r>
    </w:p>
    <w:p w:rsidR="00FC40BE" w:rsidRPr="00C61DDB" w:rsidRDefault="00FC40BE" w:rsidP="00E15CA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0BE" w:rsidRPr="00C61DDB" w:rsidRDefault="00FC40BE" w:rsidP="00E15C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>Proračun jedinice lokalne i područne(regionalne) samouprave sastoji se od plana za proračunsku godinu i projekcija za slijedeće dvije godine.</w:t>
      </w:r>
    </w:p>
    <w:p w:rsidR="00FC40BE" w:rsidRPr="00C61DDB" w:rsidRDefault="00FC40BE" w:rsidP="00E15C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C40BE" w:rsidRPr="00C61DDB" w:rsidRDefault="00FC40BE" w:rsidP="00E15C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>Sastavi dijelovi općeg dijela proračuna su:</w:t>
      </w:r>
    </w:p>
    <w:p w:rsidR="00FC40BE" w:rsidRPr="00C61DDB" w:rsidRDefault="00FC40BE" w:rsidP="00E15CA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DDB">
        <w:rPr>
          <w:rFonts w:ascii="Times New Roman" w:hAnsi="Times New Roman" w:cs="Times New Roman"/>
          <w:b/>
          <w:sz w:val="24"/>
          <w:szCs w:val="24"/>
          <w:u w:val="single"/>
        </w:rPr>
        <w:t>Opći dio proračuna</w:t>
      </w:r>
    </w:p>
    <w:p w:rsidR="00FC40BE" w:rsidRDefault="00FC40BE" w:rsidP="00E15CA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DDB">
        <w:rPr>
          <w:rFonts w:ascii="Times New Roman" w:hAnsi="Times New Roman" w:cs="Times New Roman"/>
          <w:b/>
          <w:sz w:val="24"/>
          <w:szCs w:val="24"/>
        </w:rPr>
        <w:t>Sastavni djelovi Općeg dijela proračuna su:</w:t>
      </w:r>
    </w:p>
    <w:p w:rsidR="00DA389C" w:rsidRPr="00C61DDB" w:rsidRDefault="00DA389C" w:rsidP="00E15CA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0BE" w:rsidRPr="00DA389C" w:rsidRDefault="00FC40BE" w:rsidP="00E15C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b/>
          <w:sz w:val="24"/>
          <w:szCs w:val="24"/>
        </w:rPr>
        <w:t>Sažetak računa prihoda i rashoda i sažetak Računa financiranja</w:t>
      </w:r>
      <w:r w:rsidRPr="00DA389C">
        <w:rPr>
          <w:rFonts w:ascii="Times New Roman" w:hAnsi="Times New Roman" w:cs="Times New Roman"/>
          <w:sz w:val="24"/>
          <w:szCs w:val="24"/>
        </w:rPr>
        <w:t xml:space="preserve">-ukupni prihodi poslovanja i prihodi od prodaje nefinancijske imovine, ukupni rashodi poslovanja i rashodi za nabavu </w:t>
      </w:r>
      <w:r w:rsidRPr="00DA389C">
        <w:rPr>
          <w:rFonts w:ascii="Times New Roman" w:hAnsi="Times New Roman" w:cs="Times New Roman"/>
          <w:sz w:val="24"/>
          <w:szCs w:val="24"/>
        </w:rPr>
        <w:lastRenderedPageBreak/>
        <w:t>nefinancijske imovine, ukupni primici od financijske imovine i zaduživanja i izdaci za financijsku imovinu i otplatu zajmova</w:t>
      </w:r>
    </w:p>
    <w:p w:rsidR="00FC40BE" w:rsidRPr="00DA389C" w:rsidRDefault="00FC40BE" w:rsidP="00E15C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b/>
          <w:sz w:val="24"/>
          <w:szCs w:val="24"/>
        </w:rPr>
        <w:t>Račun prihoda i rashoda</w:t>
      </w:r>
      <w:r w:rsidRPr="00DA389C">
        <w:rPr>
          <w:rFonts w:ascii="Times New Roman" w:hAnsi="Times New Roman" w:cs="Times New Roman"/>
          <w:sz w:val="24"/>
          <w:szCs w:val="24"/>
        </w:rPr>
        <w:t>-ukupni</w:t>
      </w:r>
      <w:r w:rsidR="007F5EB7" w:rsidRPr="00DA389C">
        <w:rPr>
          <w:rFonts w:ascii="Times New Roman" w:hAnsi="Times New Roman" w:cs="Times New Roman"/>
          <w:sz w:val="24"/>
          <w:szCs w:val="24"/>
        </w:rPr>
        <w:t xml:space="preserve"> </w:t>
      </w:r>
      <w:r w:rsidRPr="00DA389C">
        <w:rPr>
          <w:rFonts w:ascii="Times New Roman" w:hAnsi="Times New Roman" w:cs="Times New Roman"/>
          <w:sz w:val="24"/>
          <w:szCs w:val="24"/>
        </w:rPr>
        <w:t>p</w:t>
      </w:r>
      <w:r w:rsidR="007F5EB7" w:rsidRPr="00DA389C">
        <w:rPr>
          <w:rFonts w:ascii="Times New Roman" w:hAnsi="Times New Roman" w:cs="Times New Roman"/>
          <w:sz w:val="24"/>
          <w:szCs w:val="24"/>
        </w:rPr>
        <w:t>r</w:t>
      </w:r>
      <w:r w:rsidRPr="00DA389C">
        <w:rPr>
          <w:rFonts w:ascii="Times New Roman" w:hAnsi="Times New Roman" w:cs="Times New Roman"/>
          <w:sz w:val="24"/>
          <w:szCs w:val="24"/>
        </w:rPr>
        <w:t>ihodi i rashodi iskazani prema izvorima financiranja na razini skupine</w:t>
      </w:r>
      <w:r w:rsidR="007F5EB7" w:rsidRPr="00DA389C">
        <w:rPr>
          <w:rFonts w:ascii="Times New Roman" w:hAnsi="Times New Roman" w:cs="Times New Roman"/>
          <w:sz w:val="24"/>
          <w:szCs w:val="24"/>
        </w:rPr>
        <w:t>, te ukupni rashodi iskazani po funkcijskoj klasifikaciji</w:t>
      </w:r>
    </w:p>
    <w:p w:rsidR="007F5EB7" w:rsidRPr="00DA389C" w:rsidRDefault="007F5EB7" w:rsidP="00E15C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b/>
          <w:sz w:val="24"/>
          <w:szCs w:val="24"/>
        </w:rPr>
        <w:t>Račun financiranja-</w:t>
      </w:r>
      <w:r w:rsidRPr="00DA389C">
        <w:rPr>
          <w:rFonts w:ascii="Times New Roman" w:hAnsi="Times New Roman" w:cs="Times New Roman"/>
          <w:sz w:val="24"/>
          <w:szCs w:val="24"/>
        </w:rPr>
        <w:t>ukupni primici od financijske imovine i zaduživanja i izdaci za financijsku imovinu i otplatu zaduživanja iskazani prema izvorima financiranja i ekonomskoj klasifikaciji na razini skupine</w:t>
      </w:r>
    </w:p>
    <w:p w:rsidR="007F5EB7" w:rsidRPr="00DA389C" w:rsidRDefault="007F5EB7" w:rsidP="00E15C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b/>
          <w:sz w:val="24"/>
          <w:szCs w:val="24"/>
        </w:rPr>
        <w:t>Preneseni višak ili preneseni manjak</w:t>
      </w:r>
      <w:r w:rsidRPr="00DA389C">
        <w:rPr>
          <w:rFonts w:ascii="Times New Roman" w:hAnsi="Times New Roman" w:cs="Times New Roman"/>
          <w:sz w:val="24"/>
          <w:szCs w:val="24"/>
        </w:rPr>
        <w:t>- ako uku</w:t>
      </w:r>
      <w:r w:rsidR="003A1C1C">
        <w:rPr>
          <w:rFonts w:ascii="Times New Roman" w:hAnsi="Times New Roman" w:cs="Times New Roman"/>
          <w:sz w:val="24"/>
          <w:szCs w:val="24"/>
        </w:rPr>
        <w:t>pn</w:t>
      </w:r>
      <w:r w:rsidRPr="00DA389C">
        <w:rPr>
          <w:rFonts w:ascii="Times New Roman" w:hAnsi="Times New Roman" w:cs="Times New Roman"/>
          <w:sz w:val="24"/>
          <w:szCs w:val="24"/>
        </w:rPr>
        <w:t>i prihodi i primici nisu u ravnoteži s rashodima i izdacima, opći dio proračuna sadrži i preneseni višak odnosno manjak prihoda nad rashodima</w:t>
      </w:r>
    </w:p>
    <w:p w:rsidR="007F5EB7" w:rsidRPr="00DA389C" w:rsidRDefault="007F5EB7" w:rsidP="00E15C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b/>
          <w:sz w:val="24"/>
          <w:szCs w:val="24"/>
        </w:rPr>
        <w:t>Višegodišnji plan uravnoteženja-</w:t>
      </w:r>
      <w:r w:rsidRPr="00DA389C">
        <w:rPr>
          <w:rFonts w:ascii="Times New Roman" w:hAnsi="Times New Roman" w:cs="Times New Roman"/>
          <w:sz w:val="24"/>
          <w:szCs w:val="24"/>
        </w:rPr>
        <w:t>ako Jedinica lokalne i područne (regionalne) samouprave ne mogu preneseni manjak prihoda nad rashodima podmirti do kraja proračunske godine, obvezni su izradti višegodišnji plan uravnoteženja za razdoblje za koje se proračun donosi.</w:t>
      </w:r>
    </w:p>
    <w:p w:rsidR="007F5EB7" w:rsidRPr="00DA389C" w:rsidRDefault="00D56835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Ako jedinica lokalne i područne (regionalne) sam ouprave ne mogu preneseni višak u cijelsoti iskoristiti u jednoj proračunskoj godini, korištenje viškaova planiraju višegodišnjim planiom uravnoteženja za razdoblje za koje se proračun donosi.</w:t>
      </w:r>
    </w:p>
    <w:p w:rsidR="00D56835" w:rsidRPr="00DA389C" w:rsidRDefault="00D56835" w:rsidP="002C056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6835" w:rsidRPr="00DA389C" w:rsidRDefault="00D56835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89C">
        <w:rPr>
          <w:rFonts w:ascii="Times New Roman" w:hAnsi="Times New Roman" w:cs="Times New Roman"/>
          <w:b/>
          <w:sz w:val="24"/>
          <w:szCs w:val="24"/>
          <w:u w:val="single"/>
        </w:rPr>
        <w:t>Posebni dio proračuna</w:t>
      </w:r>
    </w:p>
    <w:p w:rsidR="00D56835" w:rsidRPr="00DA389C" w:rsidRDefault="00D56835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89C">
        <w:rPr>
          <w:rFonts w:ascii="Times New Roman" w:hAnsi="Times New Roman" w:cs="Times New Roman"/>
          <w:b/>
          <w:sz w:val="24"/>
          <w:szCs w:val="24"/>
        </w:rPr>
        <w:t>Posebni dio proračuna sadrži:</w:t>
      </w:r>
    </w:p>
    <w:p w:rsidR="00D56835" w:rsidRPr="00DA389C" w:rsidRDefault="00D56835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b/>
          <w:sz w:val="24"/>
          <w:szCs w:val="24"/>
        </w:rPr>
        <w:t>Plan rashoda i izdataka proračuna Jedinice lokalne i područne (regionalne) samouprave i njihovih proračunskih korsnika-</w:t>
      </w:r>
      <w:r w:rsidRPr="00DA389C">
        <w:rPr>
          <w:rFonts w:ascii="Times New Roman" w:hAnsi="Times New Roman" w:cs="Times New Roman"/>
          <w:sz w:val="24"/>
          <w:szCs w:val="24"/>
        </w:rPr>
        <w:t>rashodi i izdaci Jedinice lokalne i područne (regionalne) samouprave i njihovih proračunskih korsn ika iskazanih po organizacijskojklasifikaciji, izvorima financiranja i ekonomskoj</w:t>
      </w:r>
      <w:r w:rsidR="00EF4F67" w:rsidRPr="00DA389C">
        <w:rPr>
          <w:rFonts w:ascii="Times New Roman" w:hAnsi="Times New Roman" w:cs="Times New Roman"/>
          <w:sz w:val="24"/>
          <w:szCs w:val="24"/>
        </w:rPr>
        <w:t xml:space="preserve"> klasifikaciji na razini skupine, raspoređenih u programe a prikazanih kroz projekte i aktivnosti.</w:t>
      </w:r>
    </w:p>
    <w:p w:rsidR="00EF4F67" w:rsidRPr="00DA389C" w:rsidRDefault="00EF4F67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F4F67" w:rsidRPr="00DA389C" w:rsidRDefault="00EF4F67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89C">
        <w:rPr>
          <w:rFonts w:ascii="Times New Roman" w:hAnsi="Times New Roman" w:cs="Times New Roman"/>
          <w:b/>
          <w:sz w:val="24"/>
          <w:szCs w:val="24"/>
          <w:u w:val="single"/>
        </w:rPr>
        <w:t>Obrazloženje proračuna</w:t>
      </w:r>
    </w:p>
    <w:p w:rsidR="00EF4F67" w:rsidRPr="00DA389C" w:rsidRDefault="00EF4F67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b/>
          <w:sz w:val="24"/>
          <w:szCs w:val="24"/>
        </w:rPr>
        <w:t>Obrazložen je proračuna sadrži obrazloženje općeg i posebnog dijela proračuna-</w:t>
      </w:r>
      <w:r w:rsidRPr="00DA389C">
        <w:rPr>
          <w:rFonts w:ascii="Times New Roman" w:hAnsi="Times New Roman" w:cs="Times New Roman"/>
          <w:sz w:val="24"/>
          <w:szCs w:val="24"/>
        </w:rPr>
        <w:t>obrazloženje općeg dijela proračuna sadrži obrazloženje prihoda i rashoda, primitaka i izdataka i obrazloženje prenesenog viška odnosno manjka, obrazloženje posebnog diejla proračuna temelji se na obrazloženjima financijskih planova proračunskih korsinika, a sastoje se od obrazloženja aktuvmnosti i projekata zajedno s ciljevima i pokazateljima uspješnosti iz akta o strateškom planiranju.</w:t>
      </w:r>
    </w:p>
    <w:p w:rsidR="00EF4F67" w:rsidRDefault="00EF4F67" w:rsidP="002C056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6A34" w:rsidRDefault="00D26A34" w:rsidP="002465D4">
      <w:pPr>
        <w:pStyle w:val="NoSpacing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A34">
        <w:rPr>
          <w:rFonts w:ascii="Times New Roman" w:hAnsi="Times New Roman" w:cs="Times New Roman"/>
          <w:b/>
          <w:sz w:val="24"/>
          <w:szCs w:val="24"/>
        </w:rPr>
        <w:t xml:space="preserve"> Sadržaj financijskog plana proračunskih i izvanproračunskih korisnika jedinice lokalne (regionalne) samouprave</w:t>
      </w:r>
    </w:p>
    <w:p w:rsidR="00536A3A" w:rsidRPr="00536A3A" w:rsidRDefault="00536A3A" w:rsidP="00536A3A">
      <w:pPr>
        <w:pStyle w:val="ListParagraph"/>
        <w:tabs>
          <w:tab w:val="left" w:pos="0"/>
        </w:tabs>
        <w:ind w:left="36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3235"/>
        <w:gridCol w:w="3827"/>
      </w:tblGrid>
      <w:tr w:rsidR="00536A3A" w:rsidRPr="00DA389C" w:rsidTr="00200424">
        <w:tc>
          <w:tcPr>
            <w:tcW w:w="2093" w:type="dxa"/>
            <w:shd w:val="clear" w:color="auto" w:fill="D9D9D9" w:themeFill="background1" w:themeFillShade="D9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SADRŽAJ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SASTAVNI DIO</w:t>
            </w:r>
          </w:p>
        </w:tc>
        <w:tc>
          <w:tcPr>
            <w:tcW w:w="4217" w:type="dxa"/>
            <w:shd w:val="clear" w:color="auto" w:fill="D9D9D9" w:themeFill="background1" w:themeFillShade="D9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OPIS SASTAVNOG DIJELA</w:t>
            </w:r>
          </w:p>
        </w:tc>
      </w:tr>
      <w:tr w:rsidR="00536A3A" w:rsidRPr="00DA389C" w:rsidTr="00200424">
        <w:trPr>
          <w:trHeight w:val="165"/>
        </w:trPr>
        <w:tc>
          <w:tcPr>
            <w:tcW w:w="2093" w:type="dxa"/>
            <w:vMerge w:val="restart"/>
            <w:vAlign w:val="center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Opći dio financijskog plana</w:t>
            </w: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6A3A" w:rsidRPr="00DA389C" w:rsidRDefault="00536A3A" w:rsidP="00200424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536A3A" w:rsidRPr="00DA389C" w:rsidRDefault="00536A3A" w:rsidP="00200424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536A3A" w:rsidRPr="00DA389C" w:rsidRDefault="00536A3A" w:rsidP="00200424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536A3A" w:rsidRPr="00DA389C" w:rsidRDefault="00536A3A" w:rsidP="00200424">
            <w:pPr>
              <w:rPr>
                <w:rStyle w:val="fontstyle01"/>
                <w:rFonts w:ascii="Times New Roman" w:hAnsi="Times New Roman" w:cs="Times New Roman"/>
              </w:rPr>
            </w:pPr>
            <w:r w:rsidRPr="00DA389C">
              <w:rPr>
                <w:rStyle w:val="fontstyle01"/>
                <w:rFonts w:ascii="Times New Roman" w:hAnsi="Times New Roman" w:cs="Times New Roman"/>
              </w:rPr>
              <w:t>Sažetak Računa prihoda i rashoda</w:t>
            </w: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Style w:val="fontstyle01"/>
                <w:rFonts w:ascii="Times New Roman" w:hAnsi="Times New Roman" w:cs="Times New Roman"/>
              </w:rPr>
              <w:t>Sažetak Računa financiranja</w:t>
            </w: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vAlign w:val="center"/>
          </w:tcPr>
          <w:p w:rsidR="00536A3A" w:rsidRPr="00DA389C" w:rsidRDefault="00536A3A" w:rsidP="00200424">
            <w:pPr>
              <w:rPr>
                <w:rStyle w:val="fontstyle01"/>
                <w:rFonts w:ascii="Times New Roman" w:hAnsi="Times New Roman" w:cs="Times New Roman"/>
              </w:rPr>
            </w:pPr>
            <w:r w:rsidRPr="00DA389C">
              <w:rPr>
                <w:rStyle w:val="fontstyle01"/>
                <w:rFonts w:ascii="Times New Roman" w:hAnsi="Times New Roman" w:cs="Times New Roman"/>
              </w:rPr>
              <w:t>- ukupni prihodi poslovanja i prihodi od prodaje nefinancijske imovine,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389C">
              <w:rPr>
                <w:rStyle w:val="fontstyle01"/>
                <w:rFonts w:ascii="Times New Roman" w:hAnsi="Times New Roman" w:cs="Times New Roman"/>
              </w:rPr>
              <w:t>ukupni  rashodi poslovanja i rashodi za nabavu nefinancijske imovine</w:t>
            </w: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ukupni primici od financijske imovine i zaduživanja i izdaci za financijsku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389C">
              <w:rPr>
                <w:rStyle w:val="fontstyle01"/>
                <w:rFonts w:ascii="Times New Roman" w:hAnsi="Times New Roman" w:cs="Times New Roman"/>
              </w:rPr>
              <w:t>imovinu i otplate zajmova</w:t>
            </w: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A3A" w:rsidRPr="00DA389C" w:rsidTr="00200424">
        <w:trPr>
          <w:trHeight w:val="165"/>
        </w:trPr>
        <w:tc>
          <w:tcPr>
            <w:tcW w:w="2093" w:type="dxa"/>
            <w:vMerge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Račun prihoda i rashoda</w:t>
            </w:r>
          </w:p>
        </w:tc>
        <w:tc>
          <w:tcPr>
            <w:tcW w:w="4217" w:type="dxa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Style w:val="fontstyle01"/>
                <w:rFonts w:ascii="Times New Roman" w:hAnsi="Times New Roman" w:cs="Times New Roman"/>
              </w:rPr>
              <w:t>- ukupni prihodi i rashodi iskazani prema izvorima financiranja i ekonomskoj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389C">
              <w:rPr>
                <w:rStyle w:val="fontstyle01"/>
                <w:rFonts w:ascii="Times New Roman" w:hAnsi="Times New Roman" w:cs="Times New Roman"/>
              </w:rPr>
              <w:t>klasifikaciji na razini skupine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389C">
              <w:rPr>
                <w:rStyle w:val="fontstyle01"/>
                <w:rFonts w:ascii="Times New Roman" w:hAnsi="Times New Roman" w:cs="Times New Roman"/>
              </w:rPr>
              <w:lastRenderedPageBreak/>
              <w:t>- ukupni rashodi iskazani prema funkcijskoj klasifikaciji</w:t>
            </w: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6A3A" w:rsidRPr="00DA389C" w:rsidTr="00200424">
        <w:trPr>
          <w:trHeight w:val="165"/>
        </w:trPr>
        <w:tc>
          <w:tcPr>
            <w:tcW w:w="2093" w:type="dxa"/>
            <w:vMerge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Račun financiranja</w:t>
            </w:r>
          </w:p>
        </w:tc>
        <w:tc>
          <w:tcPr>
            <w:tcW w:w="4217" w:type="dxa"/>
            <w:vAlign w:val="center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Style w:val="fontstyle01"/>
                <w:rFonts w:ascii="Times New Roman" w:hAnsi="Times New Roman" w:cs="Times New Roman"/>
              </w:rPr>
              <w:t>- ukupni primici od financijske imovine i zaduživanja i izdaci za financijsku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389C">
              <w:rPr>
                <w:rStyle w:val="fontstyle01"/>
                <w:rFonts w:ascii="Times New Roman" w:hAnsi="Times New Roman" w:cs="Times New Roman"/>
              </w:rPr>
              <w:t>imovinu i otplate instrumenata zaduživanja prema izvorima financiranja i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ekonomskoj klasifikaciji na razini skupine</w:t>
            </w:r>
          </w:p>
        </w:tc>
      </w:tr>
      <w:tr w:rsidR="00536A3A" w:rsidRPr="00DA389C" w:rsidTr="00200424">
        <w:trPr>
          <w:trHeight w:val="165"/>
        </w:trPr>
        <w:tc>
          <w:tcPr>
            <w:tcW w:w="2093" w:type="dxa"/>
            <w:vMerge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Preneseni višak ili preneseni manjak prihoda nad rashodima</w:t>
            </w:r>
          </w:p>
        </w:tc>
        <w:tc>
          <w:tcPr>
            <w:tcW w:w="4217" w:type="dxa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Style w:val="fontstyle01"/>
                <w:rFonts w:ascii="Times New Roman" w:hAnsi="Times New Roman" w:cs="Times New Roman"/>
              </w:rPr>
              <w:t>- ako ukupni prihodi i primici nisu jednaki ukupnim rashodima i izdacima, opći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dio proračuna sadrži i preneseni višak ili preneseni manjak prihoda nad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389C">
              <w:rPr>
                <w:rStyle w:val="fontstyle01"/>
                <w:rFonts w:ascii="Times New Roman" w:hAnsi="Times New Roman" w:cs="Times New Roman"/>
              </w:rPr>
              <w:t>rashodima</w:t>
            </w:r>
          </w:p>
        </w:tc>
      </w:tr>
      <w:tr w:rsidR="00536A3A" w:rsidRPr="00DA389C" w:rsidTr="00200424">
        <w:trPr>
          <w:trHeight w:val="165"/>
        </w:trPr>
        <w:tc>
          <w:tcPr>
            <w:tcW w:w="2093" w:type="dxa"/>
            <w:vMerge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Višegodišnji plan uravnoteženja</w:t>
            </w:r>
          </w:p>
        </w:tc>
        <w:tc>
          <w:tcPr>
            <w:tcW w:w="4217" w:type="dxa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Style w:val="fontstyle01"/>
                <w:rFonts w:ascii="Times New Roman" w:hAnsi="Times New Roman" w:cs="Times New Roman"/>
              </w:rPr>
              <w:t>- ako proračunski korisnik ne može preneseni manjak podmiriti do kraja proračunske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godine, obvezan je izraditi višegodišnji plan uravnoteženja za razdoblje za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koje se financijski plan donosi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389C">
              <w:rPr>
                <w:rStyle w:val="fontstyle01"/>
                <w:rFonts w:ascii="Times New Roman" w:hAnsi="Times New Roman" w:cs="Times New Roman"/>
              </w:rPr>
              <w:t>- ako proračunski korisnik ne može preneseni višak, zbog njegove veličine, u cijelosti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iskoristiti u jednoj proračunskoj godini, korištenje viška planira se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višegodišnjim planom uravnoteženja za razdoblje za koje se financijski plan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donosi</w:t>
            </w:r>
          </w:p>
        </w:tc>
      </w:tr>
      <w:tr w:rsidR="00536A3A" w:rsidRPr="00DA389C" w:rsidTr="00200424">
        <w:tc>
          <w:tcPr>
            <w:tcW w:w="2093" w:type="dxa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Posebni dio financijskog plana</w:t>
            </w:r>
          </w:p>
        </w:tc>
        <w:tc>
          <w:tcPr>
            <w:tcW w:w="3544" w:type="dxa"/>
          </w:tcPr>
          <w:p w:rsidR="00536A3A" w:rsidRPr="00DA389C" w:rsidRDefault="00536A3A" w:rsidP="00200424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536A3A" w:rsidRPr="00DA389C" w:rsidRDefault="00536A3A" w:rsidP="00200424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Style w:val="fontstyle01"/>
                <w:rFonts w:ascii="Times New Roman" w:hAnsi="Times New Roman" w:cs="Times New Roman"/>
              </w:rPr>
              <w:t>Plan rashoda i izdataka proračunskih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korisnika</w:t>
            </w:r>
          </w:p>
        </w:tc>
        <w:tc>
          <w:tcPr>
            <w:tcW w:w="4217" w:type="dxa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Style w:val="fontstyle01"/>
                <w:rFonts w:ascii="Times New Roman" w:hAnsi="Times New Roman" w:cs="Times New Roman"/>
              </w:rPr>
              <w:t>- rashodi i izdaci iskazani po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389C">
              <w:rPr>
                <w:rStyle w:val="fontstyle01"/>
                <w:rFonts w:ascii="Times New Roman" w:hAnsi="Times New Roman" w:cs="Times New Roman"/>
              </w:rPr>
              <w:t>izvorima financiranja i ekonomskoj klasifikaciji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na razini skupine, raspoređeni u programe koji se sastoje od aktivnosti i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projekata</w:t>
            </w:r>
          </w:p>
        </w:tc>
      </w:tr>
      <w:tr w:rsidR="00536A3A" w:rsidRPr="00DA389C" w:rsidTr="00200424">
        <w:tc>
          <w:tcPr>
            <w:tcW w:w="2093" w:type="dxa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Obrazloženje financijskog plana</w:t>
            </w:r>
          </w:p>
        </w:tc>
        <w:tc>
          <w:tcPr>
            <w:tcW w:w="3544" w:type="dxa"/>
          </w:tcPr>
          <w:p w:rsidR="00536A3A" w:rsidRPr="00DA389C" w:rsidRDefault="00536A3A" w:rsidP="00200424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536A3A" w:rsidRPr="00DA389C" w:rsidRDefault="00536A3A" w:rsidP="00200424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536A3A" w:rsidRPr="00DA389C" w:rsidRDefault="00536A3A" w:rsidP="00200424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536A3A" w:rsidRPr="00DA389C" w:rsidRDefault="00536A3A" w:rsidP="00200424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536A3A" w:rsidRPr="00DA389C" w:rsidRDefault="00536A3A" w:rsidP="00200424">
            <w:pPr>
              <w:rPr>
                <w:rStyle w:val="fontstyle01"/>
                <w:rFonts w:ascii="Times New Roman" w:hAnsi="Times New Roman" w:cs="Times New Roman"/>
              </w:rPr>
            </w:pP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Style w:val="fontstyle01"/>
                <w:rFonts w:ascii="Times New Roman" w:hAnsi="Times New Roman" w:cs="Times New Roman"/>
              </w:rPr>
              <w:t>Obrazloženje općeg dijela financijskog plana i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obrazloženje posebnog dijela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financijskog plana</w:t>
            </w:r>
          </w:p>
          <w:p w:rsidR="00536A3A" w:rsidRPr="00DA389C" w:rsidRDefault="00536A3A" w:rsidP="002004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:rsidR="00536A3A" w:rsidRPr="00DA389C" w:rsidRDefault="00536A3A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Style w:val="fontstyle01"/>
                <w:rFonts w:ascii="Times New Roman" w:hAnsi="Times New Roman" w:cs="Times New Roman"/>
              </w:rPr>
              <w:t>- obrazloženje općeg dijela financijskog plana sadrži obrazloženje prihoda i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rashoda, primitaka i izdataka te  obrazloženje prenesenog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manjka odnosno viška financijskog plana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389C">
              <w:rPr>
                <w:rStyle w:val="fontstyle01"/>
                <w:rFonts w:ascii="Times New Roman" w:hAnsi="Times New Roman" w:cs="Times New Roman"/>
              </w:rPr>
              <w:t>- obrazloženje posebnog dijela financijskog plana sastoji se od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obrazloženja programa koje se daje kroz obrazloženje aktivnosti i projekata</w:t>
            </w:r>
            <w:r w:rsidRPr="00DA3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389C">
              <w:rPr>
                <w:rStyle w:val="fontstyle01"/>
                <w:rFonts w:ascii="Times New Roman" w:hAnsi="Times New Roman" w:cs="Times New Roman"/>
              </w:rPr>
              <w:t>zajedno s ciljevima i pokazateljima uspješnosti iz akata strateškog planiranja i godišnjeg plana rada</w:t>
            </w:r>
          </w:p>
        </w:tc>
      </w:tr>
    </w:tbl>
    <w:p w:rsidR="00536A3A" w:rsidRDefault="00536A3A" w:rsidP="00536A3A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A34" w:rsidRPr="00D26A34" w:rsidRDefault="00D26A34" w:rsidP="00D26A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Proračunski i izvanproračunski korisnik jedinice lokalne i područne (regionalne) samouprave prihode i primitke, rashode i izdatke za 202</w:t>
      </w:r>
      <w:r w:rsidR="00F232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planira na razini skupine (druga razina računskog plana) isto kao i 202</w:t>
      </w:r>
      <w:r w:rsidR="00F2326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F2326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godine. Temeljem zahtjeva nadležnog proračuna korisnici mogu izrađivati prijedlog financijskog plana na razini odjeljka (četvrta razina računskog plana). </w:t>
      </w:r>
      <w:r w:rsidRPr="00D26A34">
        <w:rPr>
          <w:rFonts w:ascii="Times New Roman" w:hAnsi="Times New Roman" w:cs="Times New Roman"/>
          <w:b/>
          <w:sz w:val="24"/>
          <w:szCs w:val="24"/>
        </w:rPr>
        <w:t>Međutim upravno vijeće ili drugo upravljačko tijelo obvezno je usvojiti plan korisnika, a predstavničko tijelo proračuna za 202</w:t>
      </w:r>
      <w:r w:rsidR="00F23260">
        <w:rPr>
          <w:rFonts w:ascii="Times New Roman" w:hAnsi="Times New Roman" w:cs="Times New Roman"/>
          <w:b/>
          <w:sz w:val="24"/>
          <w:szCs w:val="24"/>
        </w:rPr>
        <w:t>6</w:t>
      </w:r>
      <w:r w:rsidRPr="00D26A34">
        <w:rPr>
          <w:rFonts w:ascii="Times New Roman" w:hAnsi="Times New Roman" w:cs="Times New Roman"/>
          <w:b/>
          <w:sz w:val="24"/>
          <w:szCs w:val="24"/>
        </w:rPr>
        <w:t>. godinu i projekcije za 202</w:t>
      </w:r>
      <w:r w:rsidR="00F23260">
        <w:rPr>
          <w:rFonts w:ascii="Times New Roman" w:hAnsi="Times New Roman" w:cs="Times New Roman"/>
          <w:b/>
          <w:sz w:val="24"/>
          <w:szCs w:val="24"/>
        </w:rPr>
        <w:t>7</w:t>
      </w:r>
      <w:r w:rsidRPr="00D26A34">
        <w:rPr>
          <w:rFonts w:ascii="Times New Roman" w:hAnsi="Times New Roman" w:cs="Times New Roman"/>
          <w:b/>
          <w:sz w:val="24"/>
          <w:szCs w:val="24"/>
        </w:rPr>
        <w:t>. i 202</w:t>
      </w:r>
      <w:r w:rsidR="00F23260">
        <w:rPr>
          <w:rFonts w:ascii="Times New Roman" w:hAnsi="Times New Roman" w:cs="Times New Roman"/>
          <w:b/>
          <w:sz w:val="24"/>
          <w:szCs w:val="24"/>
        </w:rPr>
        <w:t>8</w:t>
      </w:r>
      <w:r w:rsidRPr="00D26A34">
        <w:rPr>
          <w:rFonts w:ascii="Times New Roman" w:hAnsi="Times New Roman" w:cs="Times New Roman"/>
          <w:b/>
          <w:sz w:val="24"/>
          <w:szCs w:val="24"/>
        </w:rPr>
        <w:t>. godinu na razini skupine (druga razina računskog plana).</w:t>
      </w:r>
    </w:p>
    <w:p w:rsidR="00D26A34" w:rsidRPr="00D26A34" w:rsidRDefault="00D26A34" w:rsidP="00D26A3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4230" w:rsidRDefault="00B54230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B551B" w:rsidRDefault="000B551B" w:rsidP="002465D4">
      <w:pPr>
        <w:pStyle w:val="NoSpacing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51B">
        <w:rPr>
          <w:rFonts w:ascii="Times New Roman" w:hAnsi="Times New Roman" w:cs="Times New Roman"/>
          <w:b/>
          <w:sz w:val="24"/>
          <w:szCs w:val="24"/>
        </w:rPr>
        <w:t>Rokovi za predlaganje i donošenje financijskog plana proračunskog korisnika i izvanproračunskih korisnika proračuna jedinice lokalne i područne (regionalne) samouprave</w:t>
      </w:r>
    </w:p>
    <w:p w:rsidR="00617050" w:rsidRDefault="00617050" w:rsidP="0061705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050" w:rsidRDefault="00617050" w:rsidP="006170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Rokovi</w:t>
      </w:r>
      <w:r w:rsidRPr="00617050">
        <w:rPr>
          <w:rFonts w:ascii="Times New Roman" w:hAnsi="Times New Roman" w:cs="Times New Roman"/>
          <w:sz w:val="24"/>
          <w:szCs w:val="24"/>
        </w:rPr>
        <w:t xml:space="preserve"> za predlaganje i donošenje financijskog plana proračunskih i izvanproračunskih korisnika proračuna jedinice lokalne i područne (regionalne) samouprave prikazani su u tablicama: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248"/>
        <w:gridCol w:w="2297"/>
        <w:gridCol w:w="2287"/>
      </w:tblGrid>
      <w:tr w:rsidR="00617050" w:rsidRPr="00DA389C" w:rsidTr="00200424">
        <w:tc>
          <w:tcPr>
            <w:tcW w:w="2361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TKO?</w:t>
            </w:r>
          </w:p>
        </w:tc>
        <w:tc>
          <w:tcPr>
            <w:tcW w:w="2362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KOME?</w:t>
            </w:r>
          </w:p>
        </w:tc>
        <w:tc>
          <w:tcPr>
            <w:tcW w:w="2367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PREPORUČENI ROK</w:t>
            </w:r>
          </w:p>
        </w:tc>
        <w:tc>
          <w:tcPr>
            <w:tcW w:w="2366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617050" w:rsidRPr="00DA389C" w:rsidTr="00200424">
        <w:trPr>
          <w:trHeight w:val="1094"/>
        </w:trPr>
        <w:tc>
          <w:tcPr>
            <w:tcW w:w="2361" w:type="dxa"/>
            <w:shd w:val="clear" w:color="auto" w:fill="auto"/>
            <w:vAlign w:val="center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Ravnateljica dječjeg vrtića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Upravnom vijeću dječjeg vrtića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:rsidR="00F23260" w:rsidRDefault="00F2326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60" w:rsidRDefault="00F2326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60" w:rsidRDefault="00F2326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F2326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17050" w:rsidRPr="00DA389C">
              <w:rPr>
                <w:rFonts w:ascii="Times New Roman" w:hAnsi="Times New Roman" w:cs="Times New Roman"/>
                <w:sz w:val="24"/>
                <w:szCs w:val="24"/>
              </w:rPr>
              <w:t>. listopada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7050" w:rsidRPr="00DA3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 w:val="restart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prije dostave prijedloga financijskog plana Općini Posedarje,čelnik proračunskog korisnika obvezan je prijedlog financijskog plana uputiti upravljačkom tijelu na usvajanje</w:t>
            </w:r>
          </w:p>
        </w:tc>
      </w:tr>
      <w:tr w:rsidR="00617050" w:rsidRPr="00DA389C" w:rsidTr="00200424">
        <w:tc>
          <w:tcPr>
            <w:tcW w:w="2361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 xml:space="preserve">Proračunski korsnik Dječji vrtić </w:t>
            </w:r>
          </w:p>
        </w:tc>
        <w:tc>
          <w:tcPr>
            <w:tcW w:w="2362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Jedinstvenom upravnom odjelu</w:t>
            </w:r>
          </w:p>
        </w:tc>
        <w:tc>
          <w:tcPr>
            <w:tcW w:w="2367" w:type="dxa"/>
            <w:vMerge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Merge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50" w:rsidRPr="00DA389C" w:rsidTr="00200424">
        <w:tc>
          <w:tcPr>
            <w:tcW w:w="2361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  <w:tc>
          <w:tcPr>
            <w:tcW w:w="2362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Općinskom načelniku</w:t>
            </w:r>
          </w:p>
        </w:tc>
        <w:tc>
          <w:tcPr>
            <w:tcW w:w="2367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F23260" w:rsidP="00F2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17050" w:rsidRPr="00DA38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studenog 2025.godine</w:t>
            </w:r>
            <w:r w:rsidR="00617050" w:rsidRPr="00DA3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JUO izrađuje nacrt proračuna te ga dostavlja načelniku</w:t>
            </w:r>
          </w:p>
        </w:tc>
      </w:tr>
      <w:tr w:rsidR="00617050" w:rsidRPr="00DA389C" w:rsidTr="00200424">
        <w:tc>
          <w:tcPr>
            <w:tcW w:w="2361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Općinski načelnik</w:t>
            </w:r>
          </w:p>
        </w:tc>
        <w:tc>
          <w:tcPr>
            <w:tcW w:w="2362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Općinskom vijeću</w:t>
            </w:r>
          </w:p>
        </w:tc>
        <w:tc>
          <w:tcPr>
            <w:tcW w:w="2367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F2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15. studenog 202</w:t>
            </w:r>
            <w:r w:rsidR="00F23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Načelnik utvrđuje prijedlog proračuna i podnosi ga predstavničkom tijelu na donošenje</w:t>
            </w:r>
          </w:p>
        </w:tc>
      </w:tr>
      <w:tr w:rsidR="00617050" w:rsidRPr="00DA389C" w:rsidTr="00200424">
        <w:tc>
          <w:tcPr>
            <w:tcW w:w="2361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Općinsko vijeće</w:t>
            </w:r>
          </w:p>
        </w:tc>
        <w:tc>
          <w:tcPr>
            <w:tcW w:w="2362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200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F23260" w:rsidP="00F2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17050" w:rsidRPr="00DA389C">
              <w:rPr>
                <w:rFonts w:ascii="Times New Roman" w:hAnsi="Times New Roman" w:cs="Times New Roman"/>
                <w:sz w:val="24"/>
                <w:szCs w:val="24"/>
              </w:rPr>
              <w:t>o kraja tekuće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7050" w:rsidRPr="00DA3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6" w:type="dxa"/>
            <w:shd w:val="clear" w:color="auto" w:fill="auto"/>
          </w:tcPr>
          <w:p w:rsidR="00F23260" w:rsidRDefault="00F23260" w:rsidP="00E15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60" w:rsidRDefault="00F23260" w:rsidP="00E15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60" w:rsidRDefault="00F23260" w:rsidP="00E15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50" w:rsidRPr="00DA389C" w:rsidRDefault="00617050" w:rsidP="00F2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Predstavničko tijelo donosi proračun za 202</w:t>
            </w:r>
            <w:r w:rsidR="00F23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. godinu i projekcije za 202</w:t>
            </w:r>
            <w:r w:rsidR="00F232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. i 202</w:t>
            </w:r>
            <w:r w:rsidR="00F232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. godinu do kraja tekuće 202</w:t>
            </w:r>
            <w:r w:rsidR="00F23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. godine, u roku koji omogućuje primjenu proračuna od 1. siječnja 202</w:t>
            </w:r>
            <w:r w:rsidR="00F23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17050" w:rsidRDefault="00617050" w:rsidP="0061705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A4DF6" w:rsidRDefault="003A4DF6" w:rsidP="00031636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A553FD" w:rsidRDefault="00A553FD" w:rsidP="006170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17050" w:rsidRPr="00133C83" w:rsidRDefault="00A553FD" w:rsidP="002465D4">
      <w:pPr>
        <w:pStyle w:val="NoSpacing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C83">
        <w:rPr>
          <w:rFonts w:ascii="Times New Roman" w:hAnsi="Times New Roman" w:cs="Times New Roman"/>
          <w:b/>
          <w:sz w:val="24"/>
          <w:szCs w:val="24"/>
        </w:rPr>
        <w:t xml:space="preserve"> Sudjelovanje g</w:t>
      </w:r>
      <w:r w:rsidR="00031636" w:rsidRPr="00133C83">
        <w:rPr>
          <w:rFonts w:ascii="Times New Roman" w:hAnsi="Times New Roman" w:cs="Times New Roman"/>
          <w:b/>
          <w:sz w:val="24"/>
          <w:szCs w:val="24"/>
        </w:rPr>
        <w:t>r</w:t>
      </w:r>
      <w:r w:rsidRPr="00133C83">
        <w:rPr>
          <w:rFonts w:ascii="Times New Roman" w:hAnsi="Times New Roman" w:cs="Times New Roman"/>
          <w:b/>
          <w:sz w:val="24"/>
          <w:szCs w:val="24"/>
        </w:rPr>
        <w:t>ađana u procesu planiranja proračuna jedinica lokalne i p</w:t>
      </w:r>
      <w:r w:rsidR="00F23260">
        <w:rPr>
          <w:rFonts w:ascii="Times New Roman" w:hAnsi="Times New Roman" w:cs="Times New Roman"/>
          <w:b/>
          <w:sz w:val="24"/>
          <w:szCs w:val="24"/>
        </w:rPr>
        <w:t>o</w:t>
      </w:r>
      <w:r w:rsidRPr="00133C83">
        <w:rPr>
          <w:rFonts w:ascii="Times New Roman" w:hAnsi="Times New Roman" w:cs="Times New Roman"/>
          <w:b/>
          <w:sz w:val="24"/>
          <w:szCs w:val="24"/>
        </w:rPr>
        <w:t>doručne (regionalne) samouprave</w:t>
      </w:r>
    </w:p>
    <w:p w:rsidR="005D7E3B" w:rsidRDefault="00A553FD" w:rsidP="00A553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553FD">
        <w:rPr>
          <w:rFonts w:ascii="Times New Roman" w:hAnsi="Times New Roman" w:cs="Times New Roman"/>
          <w:sz w:val="24"/>
          <w:szCs w:val="24"/>
        </w:rPr>
        <w:t xml:space="preserve">Kao i prijašnjih godina,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553FD">
        <w:rPr>
          <w:rFonts w:ascii="Times New Roman" w:hAnsi="Times New Roman" w:cs="Times New Roman"/>
          <w:sz w:val="24"/>
          <w:szCs w:val="24"/>
        </w:rPr>
        <w:t>edinica lokalne i 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553FD">
        <w:rPr>
          <w:rFonts w:ascii="Times New Roman" w:hAnsi="Times New Roman" w:cs="Times New Roman"/>
          <w:sz w:val="24"/>
          <w:szCs w:val="24"/>
        </w:rPr>
        <w:t xml:space="preserve">doručne </w:t>
      </w:r>
      <w:r>
        <w:rPr>
          <w:rFonts w:ascii="Times New Roman" w:hAnsi="Times New Roman" w:cs="Times New Roman"/>
          <w:sz w:val="24"/>
          <w:szCs w:val="24"/>
        </w:rPr>
        <w:t>(regionalne) samouprave i njihovi proračunski korisnici, po usvajanju proračuna od strane predstavničkog tijela, proračune i financijske planove dužni su objaviti na svojim mrežnim starnicama. Prilikom izrade proračuna za razdoblje od 202</w:t>
      </w:r>
      <w:r w:rsidR="00F232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-202</w:t>
      </w:r>
      <w:r w:rsidR="00F2326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jedinice lokalne i područne (regionalne) samouprave trebaju razmotriti komentare koje su zaprimili na usvojen i po usvajanju objavljen proračun za razdoblje 202</w:t>
      </w:r>
      <w:r w:rsidR="00F232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– 202</w:t>
      </w:r>
      <w:r w:rsidR="00F2326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 ove godin</w:t>
      </w:r>
      <w:r w:rsidR="00F2326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a kako bi se građanima omogućilo aktivnije sudjelovanje u procesu izrade proračuna jednica lokalne i područne (regionalne) samouprave , uz ostale već prisutne načine sudjelovanja, preporuka je da jedinice lokalne i pdoručne (regionalne) samouprave osiguraju zainteresiranoj javnosti mogućnost on-line dostave komentara, preporuka i prijedloga, na usvojeni proračun za razdoblje od 202</w:t>
      </w:r>
      <w:r w:rsidR="002420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24206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godine, a kako bi se zaprimljeni komentari i prijedlozi mogli </w:t>
      </w:r>
      <w:r w:rsidR="005D7E3B">
        <w:rPr>
          <w:rFonts w:ascii="Times New Roman" w:hAnsi="Times New Roman" w:cs="Times New Roman"/>
          <w:sz w:val="24"/>
          <w:szCs w:val="24"/>
        </w:rPr>
        <w:t>razmotriti prilikom izrade proračuna za 202</w:t>
      </w:r>
      <w:r w:rsidR="00F23260">
        <w:rPr>
          <w:rFonts w:ascii="Times New Roman" w:hAnsi="Times New Roman" w:cs="Times New Roman"/>
          <w:sz w:val="24"/>
          <w:szCs w:val="24"/>
        </w:rPr>
        <w:t>6</w:t>
      </w:r>
      <w:r w:rsidR="005D7E3B">
        <w:rPr>
          <w:rFonts w:ascii="Times New Roman" w:hAnsi="Times New Roman" w:cs="Times New Roman"/>
          <w:sz w:val="24"/>
          <w:szCs w:val="24"/>
        </w:rPr>
        <w:t>-202</w:t>
      </w:r>
      <w:r w:rsidR="00F23260">
        <w:rPr>
          <w:rFonts w:ascii="Times New Roman" w:hAnsi="Times New Roman" w:cs="Times New Roman"/>
          <w:sz w:val="24"/>
          <w:szCs w:val="24"/>
        </w:rPr>
        <w:t>8</w:t>
      </w:r>
      <w:r w:rsidR="005D7E3B">
        <w:rPr>
          <w:rFonts w:ascii="Times New Roman" w:hAnsi="Times New Roman" w:cs="Times New Roman"/>
          <w:sz w:val="24"/>
          <w:szCs w:val="24"/>
        </w:rPr>
        <w:t>. godinu.</w:t>
      </w:r>
    </w:p>
    <w:p w:rsidR="005D7E3B" w:rsidRDefault="005D7E3B" w:rsidP="00A553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On-line prijedloge nalazi se u prilogu 4. Uputa Ministarstva financija.</w:t>
      </w:r>
    </w:p>
    <w:p w:rsidR="005D7E3B" w:rsidRDefault="005D7E3B" w:rsidP="00A553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D7E3B" w:rsidRDefault="005D7E3B" w:rsidP="002465D4">
      <w:pPr>
        <w:pStyle w:val="NoSpacing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E3B">
        <w:rPr>
          <w:rFonts w:ascii="Times New Roman" w:hAnsi="Times New Roman" w:cs="Times New Roman"/>
          <w:b/>
          <w:sz w:val="24"/>
          <w:szCs w:val="24"/>
        </w:rPr>
        <w:t>Izmjene i dopune proračuna</w:t>
      </w:r>
    </w:p>
    <w:p w:rsidR="005D7E3B" w:rsidRDefault="005D7E3B" w:rsidP="005D7E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D7E3B">
        <w:rPr>
          <w:rFonts w:ascii="Times New Roman" w:hAnsi="Times New Roman" w:cs="Times New Roman"/>
          <w:sz w:val="24"/>
          <w:szCs w:val="24"/>
        </w:rPr>
        <w:t>Izmjenama i dopunama plana proračuna mijenja se isključivo plan za tekuću godinu. Na postupak donošenja izmjena i dopuna plana proračuna primjenjuje se odredba Zakona o proračunu  za postupak donošenja proračuna. Izmjene i dupune proračuna sastoje se od plana za tekuću godini i sadrže opći i posebni dio proračuna te obrazloženje izmjena i dopuna plana proračuna. Izmjenama i dopunama proračuna ne mogu se mijenjati rashodi i izdaci ispod razine izvršenja i preuzetih obveza po investicijskim projektima te preuzetih obveza iz ugovora koji zahtijevaju plaćanje u slijedećim godinama. Ostvareni namjenski prihodi proračuna, izmenama i dopunama plana proračuna moraju se planirati minimalno na razini ostvarenih prihoda i primitaka, odnosno izvršenih rashoda i izdataka. Uz svake izmjene i dopune plana proračuna obvezno je izraditi i obrazloženje općeg i posebnog dijela proračuna.</w:t>
      </w:r>
    </w:p>
    <w:p w:rsidR="005D7E3B" w:rsidRDefault="005D7E3B" w:rsidP="005D7E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D7E3B" w:rsidRDefault="005D7E3B" w:rsidP="002465D4">
      <w:pPr>
        <w:pStyle w:val="NoSpacing"/>
        <w:numPr>
          <w:ilvl w:val="1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E3B">
        <w:rPr>
          <w:rFonts w:ascii="Times New Roman" w:hAnsi="Times New Roman" w:cs="Times New Roman"/>
          <w:b/>
          <w:sz w:val="24"/>
          <w:szCs w:val="24"/>
        </w:rPr>
        <w:t>Izmjene i dopune financijskog plana</w:t>
      </w:r>
    </w:p>
    <w:p w:rsidR="005D7E3B" w:rsidRDefault="005D7E3B" w:rsidP="005D7E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D7E3B">
        <w:rPr>
          <w:rFonts w:ascii="Times New Roman" w:hAnsi="Times New Roman" w:cs="Times New Roman"/>
          <w:sz w:val="24"/>
          <w:szCs w:val="24"/>
        </w:rPr>
        <w:t xml:space="preserve">Sulkadno odredbama Zakona o proračunu izmjenama i dopunama financijskog plana mjenja se isključivo usvojen plan za tekuće razdoblje. Na postupak donošenja izmjena i dopuna financijskog plana na odgovarajući se način primjenjuje odredba Zakona o proračunu za postupak donošenja financijskog plana. </w:t>
      </w:r>
    </w:p>
    <w:p w:rsidR="00D8352B" w:rsidRPr="005D7E3B" w:rsidRDefault="00D8352B" w:rsidP="005D7E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Ostvareni namjenski prihodi i primici i ostvareni vlastiti prihodi te rashodi izvršeni iznad iznosa utvrđenih planom, izmjenama i dopunama financijskog plana moraju se planirati minimalno na razini ostvarenih prihoda i primitaka, odnosno izvršenih rashoda i izdataka.</w:t>
      </w:r>
    </w:p>
    <w:p w:rsidR="005D7E3B" w:rsidRPr="005D7E3B" w:rsidRDefault="005D7E3B" w:rsidP="000D4B8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3FD" w:rsidRPr="00617050" w:rsidRDefault="005D7E3B" w:rsidP="00A553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170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230" w:rsidRPr="00DA389C" w:rsidRDefault="00F23260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54230" w:rsidRPr="00DA389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B54230" w:rsidRPr="00DA389C">
        <w:rPr>
          <w:rFonts w:ascii="Times New Roman" w:hAnsi="Times New Roman" w:cs="Times New Roman"/>
          <w:b/>
          <w:sz w:val="24"/>
          <w:szCs w:val="24"/>
        </w:rPr>
        <w:t xml:space="preserve"> Transaprentost proračuna</w:t>
      </w:r>
    </w:p>
    <w:p w:rsidR="00B54230" w:rsidRPr="00DA389C" w:rsidRDefault="00B54230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Novim Zakonom o o proračunu propisana je obveza objave dokumenata i informacija o trošenju proračunskih sredstava. Svi dokumenti vezani uz proračun i njegove izmjene objavljuju je u formatu pogodnom za daljnju obradu (word ili excel)</w:t>
      </w:r>
    </w:p>
    <w:p w:rsidR="00B54230" w:rsidRPr="00DA389C" w:rsidRDefault="00B54230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4230" w:rsidRPr="00DA389C" w:rsidRDefault="00B54230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Obveze uz transparentost:</w:t>
      </w:r>
    </w:p>
    <w:p w:rsidR="00B54230" w:rsidRPr="00DA389C" w:rsidRDefault="00B54230" w:rsidP="002C0567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 xml:space="preserve">Proračun i izmjene proračuna, odluka o privremenom financiranju, odluka o </w:t>
      </w:r>
    </w:p>
    <w:p w:rsidR="00B54230" w:rsidRPr="00DA389C" w:rsidRDefault="00B54230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izmjenama i dopunama odluke o izvršavanju proračuna, financijski planovi i izmjene i dopune financijskih planova proračunskih i izvanproračunskih korisnika, polugodišnji i godišnji izvještaj o izvršenju proračuna te polugodišnji i godišnji izvještaaj o izvršenju financijskih planova proračunskih i izvanproračunskih korsnika obvezno se objavljuju na mrežnim stranicama jedinice.</w:t>
      </w:r>
    </w:p>
    <w:p w:rsidR="005F6724" w:rsidRPr="00DA389C" w:rsidRDefault="00B54230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 xml:space="preserve">Ako proračunski korsnik i izvanproračunski korisnik </w:t>
      </w:r>
      <w:r w:rsidR="005F6724" w:rsidRPr="00DA389C">
        <w:rPr>
          <w:rFonts w:ascii="Times New Roman" w:hAnsi="Times New Roman" w:cs="Times New Roman"/>
          <w:sz w:val="24"/>
          <w:szCs w:val="24"/>
        </w:rPr>
        <w:t>nema svoje mrežne stranice tada se potrebno objavljuje na mrežnim stranicama nadležnog proračuna odnosno jednice lokalne i područne (regionalne) samouprave.</w:t>
      </w:r>
    </w:p>
    <w:p w:rsidR="005F6724" w:rsidRPr="00DA389C" w:rsidRDefault="005F6724" w:rsidP="002C0567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Opći i posebni dio proračuna, odluka o izvršavanju proračuna jedinice lokalne i područne (regionalne) samouprave, izmjene i dopune proračuna te izmjene i dopune odluke o izvršavanju plana proračuna, odluka o privremenom financiranju te opći i posebni dio polugodišnjeg i godišnjeg izvještaja o izvršenju plana proračuna objavljuju se u službenom glasili jedinice.</w:t>
      </w:r>
    </w:p>
    <w:p w:rsidR="00EF4F67" w:rsidRPr="00DA389C" w:rsidRDefault="005F6724" w:rsidP="002C0567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 xml:space="preserve">Vodič za građanje odnosno proračuno u malom objavljuju se na mrežnim stranicama jedinice. </w:t>
      </w:r>
    </w:p>
    <w:p w:rsidR="005F6724" w:rsidRPr="00DA389C" w:rsidRDefault="005F6724" w:rsidP="002C0567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Sukladno s dosadašnjom praksom i Uputama ministarstva fianncija preporučuje se jedinicama da sa svojim mrežnim stranicama objavljuju:</w:t>
      </w:r>
    </w:p>
    <w:p w:rsidR="005F6724" w:rsidRDefault="005F6724" w:rsidP="002C0567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U posebnom folderu PORORAČUN  sve važne proračunske dokumente kao što su (prijedlog plana proračuna, izglasani in usvojeni plan proračuna za proračunsku godinu, odluka o izvršavanju proračuna, izmjene i dopune plana proračuna, polugodišnji i godišnji izvještaj o izvršenju plana proračuna. Isto tako je preporuka objaviti  i proračun za građane.</w:t>
      </w:r>
    </w:p>
    <w:p w:rsidR="00AE4F79" w:rsidRDefault="00D8352B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Zakonom o lokalnoji područnoj (regionalnoj) samoupravi ("Narodne novine" br: 33/01, 60/01,</w:t>
      </w:r>
      <w:r w:rsidRPr="00DA3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52B" w:rsidRDefault="00D8352B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129/05, 109/07, 125/0/,n 36/09, 150/11, 144/12,,19/13-pročišćeni tekst, 137/15-ispravak 123/17, 98/19, i 144/20) propisano je da su općine, grad i žuopanija dužne sa svojim mrežnim stranicama javno objavljivati informacije o trošenju proračunskih sredstava tako da te informacije budu lako dostupne i pretražive. </w:t>
      </w:r>
    </w:p>
    <w:p w:rsidR="000D4B8A" w:rsidRDefault="000D4B8A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7C59" w:rsidRDefault="00817C59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632" w:rsidRPr="00DA389C" w:rsidRDefault="00945632" w:rsidP="009456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45632" w:rsidRPr="00DA389C" w:rsidRDefault="000D4B8A" w:rsidP="0094563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4.7.</w:t>
      </w:r>
      <w:r w:rsidR="00945632" w:rsidRPr="00DA389C">
        <w:rPr>
          <w:rFonts w:ascii="Times New Roman" w:hAnsi="Times New Roman" w:cs="Times New Roman"/>
          <w:b/>
          <w:sz w:val="24"/>
          <w:szCs w:val="24"/>
        </w:rPr>
        <w:t xml:space="preserve"> Zaduživanje i davanje jamstava i suglasnosti</w:t>
      </w:r>
    </w:p>
    <w:p w:rsidR="00945632" w:rsidRPr="00DA389C" w:rsidRDefault="00945632" w:rsidP="009456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45632" w:rsidRPr="00DA389C" w:rsidRDefault="00945632" w:rsidP="009456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Zakonom o proračunu i Pravilnikom o postupku zaduživanja te davanja jamstava i suglasnosti jedinica lokalne i područne  (regionalne) samouprave („Narodne novine“ broj 55/09 i 139/10) propisan je postupak davanja  suglasnosti za zaduživanje jedinica lokalne i područne (regionalne) samouprave (dalje u tekstu: općina, grad, županija) davanja jamstava županije i davanja suglasnosti općine, grada i županije, obvezni sastojci zahtjeva,  obvezni prilozi i dokumentacija, te način izvještavanja o zaduživanju, danim jamstvima i suglasnostima.</w:t>
      </w:r>
    </w:p>
    <w:p w:rsidR="00945632" w:rsidRPr="00DA389C" w:rsidRDefault="00945632" w:rsidP="009456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lastRenderedPageBreak/>
        <w:t>Zakonom o proračunu propisana je obveza i rok dostave ugovora o zaduživanju te izvještaja o zaduživanju, danim jamstvima i suglasnostima putem obrasca IZJS Ministarstva financija. Skenirani ugovori i Obrasci IZJS (potpis župana/gradonačelnika/načelnika i pečat) dostavljaju se na e-mail adresu Ministarstva financija(</w:t>
      </w:r>
      <w:hyperlink r:id="rId6" w:history="1">
        <w:r w:rsidRPr="00DA389C">
          <w:rPr>
            <w:rStyle w:val="Hyperlink"/>
            <w:rFonts w:ascii="Times New Roman" w:hAnsi="Times New Roman" w:cs="Times New Roman"/>
            <w:sz w:val="24"/>
            <w:szCs w:val="24"/>
          </w:rPr>
          <w:t>lokalni.proracuni@mfin.hr</w:t>
        </w:r>
      </w:hyperlink>
      <w:r w:rsidRPr="00DA389C">
        <w:rPr>
          <w:rFonts w:ascii="Times New Roman" w:hAnsi="Times New Roman" w:cs="Times New Roman"/>
          <w:sz w:val="24"/>
          <w:szCs w:val="24"/>
        </w:rPr>
        <w:t>)</w:t>
      </w:r>
    </w:p>
    <w:p w:rsidR="00945632" w:rsidRPr="00DA389C" w:rsidRDefault="00945632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956" w:rsidRPr="00DA389C" w:rsidRDefault="000D4B8A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4.8.</w:t>
      </w:r>
      <w:r w:rsidR="00682A51" w:rsidRPr="00DA38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956" w:rsidRPr="00DA389C">
        <w:rPr>
          <w:rFonts w:ascii="Times New Roman" w:hAnsi="Times New Roman" w:cs="Times New Roman"/>
          <w:b/>
          <w:sz w:val="24"/>
          <w:szCs w:val="24"/>
        </w:rPr>
        <w:t>Dostava proračuna i odluke o izvršavanju proračuna Ministarstvu financija</w:t>
      </w:r>
    </w:p>
    <w:p w:rsidR="00362956" w:rsidRPr="00DA389C" w:rsidRDefault="00362956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A4A" w:rsidRDefault="00362956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Sukladno članku 4</w:t>
      </w:r>
      <w:r w:rsidR="00817C59" w:rsidRPr="00DA389C">
        <w:rPr>
          <w:rFonts w:ascii="Times New Roman" w:hAnsi="Times New Roman" w:cs="Times New Roman"/>
          <w:sz w:val="24"/>
          <w:szCs w:val="24"/>
        </w:rPr>
        <w:t>3</w:t>
      </w:r>
      <w:r w:rsidRPr="00DA389C">
        <w:rPr>
          <w:rFonts w:ascii="Times New Roman" w:hAnsi="Times New Roman" w:cs="Times New Roman"/>
          <w:sz w:val="24"/>
          <w:szCs w:val="24"/>
        </w:rPr>
        <w:t>. Zakona o proračunu, načelnik, gradonačelnik i župan obvezni su dostaviti Ministarstvu financija</w:t>
      </w:r>
      <w:r w:rsidR="002F4A4A">
        <w:rPr>
          <w:rFonts w:ascii="Times New Roman" w:hAnsi="Times New Roman" w:cs="Times New Roman"/>
          <w:sz w:val="24"/>
          <w:szCs w:val="24"/>
        </w:rPr>
        <w:t>:</w:t>
      </w:r>
    </w:p>
    <w:p w:rsidR="002F4A4A" w:rsidRDefault="002F4A4A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2956" w:rsidRPr="00DA389C">
        <w:rPr>
          <w:rFonts w:ascii="Times New Roman" w:hAnsi="Times New Roman" w:cs="Times New Roman"/>
          <w:sz w:val="24"/>
          <w:szCs w:val="24"/>
        </w:rPr>
        <w:t xml:space="preserve"> proračun i projekcije,</w:t>
      </w:r>
    </w:p>
    <w:p w:rsidR="002F4A4A" w:rsidRDefault="002F4A4A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2956" w:rsidRPr="00DA389C">
        <w:rPr>
          <w:rFonts w:ascii="Times New Roman" w:hAnsi="Times New Roman" w:cs="Times New Roman"/>
          <w:sz w:val="24"/>
          <w:szCs w:val="24"/>
        </w:rPr>
        <w:t xml:space="preserve"> odluke o izvršavanju proračuna</w:t>
      </w:r>
    </w:p>
    <w:p w:rsidR="002F4A4A" w:rsidRDefault="002F4A4A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2956" w:rsidRPr="00DA389C">
        <w:rPr>
          <w:rFonts w:ascii="Times New Roman" w:hAnsi="Times New Roman" w:cs="Times New Roman"/>
          <w:sz w:val="24"/>
          <w:szCs w:val="24"/>
        </w:rPr>
        <w:t xml:space="preserve"> izmjene i dopune proračuna jedinice lokalne i područne (regionalne)</w:t>
      </w:r>
    </w:p>
    <w:p w:rsidR="002F4A4A" w:rsidRDefault="002F4A4A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izmjene i dopune odluke o izvršavanju proračuna jedinice lokalne i područne (regionalne) samouprave</w:t>
      </w:r>
    </w:p>
    <w:p w:rsidR="002F4A4A" w:rsidRDefault="002F4A4A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Načelnik, gradonačelnik i župan sve navedene akte obvezni su dostaviti Ministarstvu financija u roku od 15 dana od dana njihova stupanja na snagu.</w:t>
      </w:r>
    </w:p>
    <w:p w:rsidR="002F4A4A" w:rsidRDefault="002F4A4A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25F3" w:rsidRDefault="002F4A4A" w:rsidP="00D725F3">
      <w:pPr>
        <w:pStyle w:val="NoSpacing"/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Jednice su u obvezi na adresu e-pošte Ministarstvu financija </w:t>
      </w:r>
      <w:hyperlink r:id="rId7" w:history="1">
        <w:r w:rsidR="00D725F3" w:rsidRPr="00B116BD">
          <w:rPr>
            <w:rStyle w:val="Hyperlink"/>
            <w:rFonts w:ascii="Times New Roman" w:hAnsi="Times New Roman" w:cs="Times New Roman"/>
            <w:sz w:val="24"/>
            <w:szCs w:val="24"/>
          </w:rPr>
          <w:t>lokalni.proracun@mfin.hr</w:t>
        </w:r>
      </w:hyperlink>
    </w:p>
    <w:p w:rsidR="00362956" w:rsidRDefault="00D725F3" w:rsidP="00D725F3">
      <w:pPr>
        <w:pStyle w:val="NoSpacing"/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poslati link na navedene dokumente objavljene u službenom glasniku, u roku od 15 dana od dana njihova stupanja na snagu.</w:t>
      </w:r>
      <w:r w:rsidR="00362956" w:rsidRPr="00DA3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5F3" w:rsidRPr="00DA389C" w:rsidRDefault="00D725F3" w:rsidP="00D725F3">
      <w:pPr>
        <w:pStyle w:val="NoSpacing"/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</w:p>
    <w:p w:rsidR="00362956" w:rsidRDefault="00362956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817C59" w:rsidRPr="00DA389C">
        <w:rPr>
          <w:rFonts w:ascii="Times New Roman" w:hAnsi="Times New Roman" w:cs="Times New Roman"/>
          <w:sz w:val="24"/>
          <w:szCs w:val="24"/>
        </w:rPr>
        <w:t>90</w:t>
      </w:r>
      <w:r w:rsidRPr="00DA389C">
        <w:rPr>
          <w:rFonts w:ascii="Times New Roman" w:hAnsi="Times New Roman" w:cs="Times New Roman"/>
          <w:sz w:val="24"/>
          <w:szCs w:val="24"/>
        </w:rPr>
        <w:t>. Zakona o proračunu, godišnji izvještaj o izvršenju proračuna jedinice lokalne i područne (regionalne) samouprave dostavlja se Ministarstvu financija i Državnom uredu za reviziju u roku od 15 dana nakon što ga donese predstavničko tijelo jedinice lokalne i područne (regionalne) samouprave. Iznimno, ako predstavničko tijelo ne donese izvještaj, isti se dostavlja Ministarstvu financija i Državnom uredu  za reviziju u roku od 60 dana od dana podnošenja predstavničkom tijelu.</w:t>
      </w:r>
    </w:p>
    <w:p w:rsidR="00D725F3" w:rsidRDefault="00D725F3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25F3" w:rsidRDefault="00D725F3" w:rsidP="00D725F3">
      <w:pPr>
        <w:pStyle w:val="NoSpacing"/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Jedinice su u obvezi na adresz e-pošte Ministarstvu financija </w:t>
      </w:r>
      <w:hyperlink r:id="rId8" w:history="1">
        <w:r w:rsidRPr="00B116BD">
          <w:rPr>
            <w:rStyle w:val="Hyperlink"/>
            <w:rFonts w:ascii="Times New Roman" w:hAnsi="Times New Roman" w:cs="Times New Roman"/>
            <w:sz w:val="24"/>
            <w:szCs w:val="24"/>
          </w:rPr>
          <w:t>lokalni.proracun@mfin.hr</w:t>
        </w:r>
      </w:hyperlink>
    </w:p>
    <w:p w:rsidR="00D725F3" w:rsidRDefault="00D725F3" w:rsidP="00D725F3">
      <w:pPr>
        <w:pStyle w:val="NoSpacing"/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poslati link na mrežnu stranicu jedinice na kojoj je objavljen godišnji izvještaj o izvršenju proračuna jedinice lokalne i područne (regionalne) samouprave u rodku od 15 dana nakon donošenja.</w:t>
      </w:r>
    </w:p>
    <w:p w:rsidR="00D725F3" w:rsidRDefault="00D725F3" w:rsidP="00D725F3">
      <w:pPr>
        <w:pStyle w:val="NoSpacing"/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</w:p>
    <w:p w:rsidR="00D725F3" w:rsidRPr="00DA389C" w:rsidRDefault="00D725F3" w:rsidP="00D725F3">
      <w:pPr>
        <w:pStyle w:val="NoSpacing"/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izvještaj o izvršenju proračuna jeedinice lokalne i područne (regionalne) samouprave nije potrebno dostavljati u papirnatom obliku Ministarstvu fianncija niti Državnom uredu za reviziju.</w:t>
      </w:r>
    </w:p>
    <w:p w:rsidR="00362956" w:rsidRDefault="00362956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62956" w:rsidRPr="00DA389C" w:rsidRDefault="00362956" w:rsidP="00D725F3">
      <w:pPr>
        <w:pStyle w:val="NoSpacing"/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 xml:space="preserve">Državnom uredu za reviziju je podatak o linku potrebno dostaviti na e-mail Državnog ureda za reviziju i to:Grad Zagreb na e-mail Središnjeg ureda Državnog ureda za reviziju, dok su druge jedinice lokalne i područne (regionalne) samouprave obvezne dostaviti na link izvještaja na e-mail područnog ureda Državnog ureda za reviziju na čijem području je sjedište jedinice. Sve e-mail adrese su objavljene na mrežnoj stranici Državnog ureda za reviziju , </w:t>
      </w:r>
      <w:hyperlink r:id="rId9" w:history="1">
        <w:r w:rsidRPr="00DA389C">
          <w:rPr>
            <w:rStyle w:val="Hyperlink"/>
            <w:rFonts w:ascii="Times New Roman" w:hAnsi="Times New Roman" w:cs="Times New Roman"/>
            <w:sz w:val="24"/>
            <w:szCs w:val="24"/>
          </w:rPr>
          <w:t>http://revizija.hr/hr/kontakt/</w:t>
        </w:r>
      </w:hyperlink>
      <w:r w:rsidRPr="00DA389C">
        <w:rPr>
          <w:rFonts w:ascii="Times New Roman" w:hAnsi="Times New Roman" w:cs="Times New Roman"/>
          <w:sz w:val="24"/>
          <w:szCs w:val="24"/>
        </w:rPr>
        <w:t>.</w:t>
      </w:r>
    </w:p>
    <w:p w:rsidR="00A137C5" w:rsidRPr="00DA389C" w:rsidRDefault="00A137C5" w:rsidP="00D725F3">
      <w:pPr>
        <w:pStyle w:val="NoSpacing"/>
        <w:shd w:val="clear" w:color="auto" w:fill="D9D9D9" w:themeFill="background1" w:themeFillShade="D9"/>
        <w:jc w:val="both"/>
        <w:rPr>
          <w:rFonts w:ascii="Times New Roman" w:hAnsi="Times New Roman" w:cs="Times New Roman"/>
          <w:sz w:val="24"/>
          <w:szCs w:val="24"/>
        </w:rPr>
      </w:pPr>
    </w:p>
    <w:p w:rsidR="00A137C5" w:rsidRPr="00DA389C" w:rsidRDefault="00A137C5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 xml:space="preserve">Sukladno članku 79. Zakona o lokalnoj i područnoj </w:t>
      </w:r>
      <w:r w:rsidR="00A81147" w:rsidRPr="00DA389C">
        <w:rPr>
          <w:rFonts w:ascii="Times New Roman" w:hAnsi="Times New Roman" w:cs="Times New Roman"/>
          <w:sz w:val="24"/>
          <w:szCs w:val="24"/>
        </w:rPr>
        <w:t>(regionalnoj)samoupravi predsjednik predstavničkog tijela jedinice lokalne i područne (regionalne) samouprave dužan je na ocjenu zakonitosti dostaviti statut, poslovnik, proračun ili drugi opći akt nadležnom tijelu državne uprave u čijem je djelokrugu opći akt zajedno s izvatkom iz zapisnika koji se odnosi na postupak donošenja općeg akta propisan statutom i poslovnikom, u roku od 15 dana od dana donošenja općeg akta.</w:t>
      </w:r>
    </w:p>
    <w:p w:rsidR="00A81147" w:rsidRPr="00DA389C" w:rsidRDefault="00A81147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1147" w:rsidRPr="00DA389C" w:rsidRDefault="00A81147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Ministarstvo financija nadležno je za nadzor zakonitosti općih akata iz područja financija i to:</w:t>
      </w:r>
    </w:p>
    <w:p w:rsidR="00A81147" w:rsidRPr="00DA389C" w:rsidRDefault="00A81147" w:rsidP="002C0567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Proračun za tekuću proračunsku godinu i projekcija za sljedeće dvije proračunske godine (čl. 39. st. 1. Zakona o proračunu),</w:t>
      </w:r>
    </w:p>
    <w:p w:rsidR="00A81147" w:rsidRPr="00DA389C" w:rsidRDefault="00A81147" w:rsidP="002C0567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 xml:space="preserve">Odluke o izvršavanju Proračuna jedinice lokalne i područne regionalne samouprave te izmjene i dopune navedene odluke (čl.14 st. 1. Zakona o proračunu), </w:t>
      </w:r>
    </w:p>
    <w:p w:rsidR="00A81147" w:rsidRPr="00DA389C" w:rsidRDefault="00A81147" w:rsidP="002C0567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Izmjene i dopune proračuna (čl. 39. st. 2. Zakona o proračunu),</w:t>
      </w:r>
    </w:p>
    <w:p w:rsidR="00A81147" w:rsidRPr="00DA389C" w:rsidRDefault="00A81147" w:rsidP="002C0567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Odluke o privremenom financiranju jedinica lokalne i područne regionalne samouprave (čl. 42. st. 2 Zakona o proračunu) i</w:t>
      </w:r>
    </w:p>
    <w:p w:rsidR="00A81147" w:rsidRPr="00DA389C" w:rsidRDefault="00A81147" w:rsidP="002C0567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Odluke o porezima (čl. 42. i 43., a u svezu sa člankom 53. Zakona o lokalnim porezima „Narodne novine“ br: 115/16, i 101/17)</w:t>
      </w:r>
    </w:p>
    <w:p w:rsidR="00257F3F" w:rsidRPr="00DA389C" w:rsidRDefault="00257F3F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57F3F" w:rsidRPr="00DA389C" w:rsidRDefault="00257F3F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Nadzor zakonitosti akata od rednog broja 1. do 4. provodi Sektor za financijski i proračunski nadzor, dok nadzor zakonitosti akta pod rednim brojem 5. provodi Porezna uprava.</w:t>
      </w:r>
    </w:p>
    <w:p w:rsidR="00257F3F" w:rsidRDefault="00257F3F" w:rsidP="002C056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 xml:space="preserve">Dakle, jedinice su u obvezi opće akte iz nadležnosti Ministarstva financija (proračun, odluku o izvršavanju proračuna, izmjene i dopune proračuna te odluku o privremenom financiranju) u roku od 15 dana od dana donošenja općeg akta </w:t>
      </w:r>
      <w:r w:rsidRPr="00DA389C">
        <w:rPr>
          <w:rFonts w:ascii="Times New Roman" w:hAnsi="Times New Roman" w:cs="Times New Roman"/>
          <w:b/>
          <w:sz w:val="24"/>
          <w:szCs w:val="24"/>
        </w:rPr>
        <w:t>dostaviti poštom u papirnatom obliku na adresu Ministarstvo financija, Sektor za financijski i proračunski nadzor, Katančićeva 5, Zagreb.</w:t>
      </w:r>
    </w:p>
    <w:p w:rsidR="001C0565" w:rsidRDefault="001C0565" w:rsidP="001C056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370" w:rsidRPr="00DA389C" w:rsidRDefault="00513370" w:rsidP="002C05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546C" w:rsidRPr="00DA389C" w:rsidRDefault="000D4B8A" w:rsidP="006D546C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4.9. </w:t>
      </w:r>
      <w:r w:rsidR="001C0565">
        <w:rPr>
          <w:rFonts w:ascii="Times New Roman" w:hAnsi="Times New Roman" w:cs="Times New Roman"/>
          <w:b/>
          <w:sz w:val="24"/>
          <w:szCs w:val="24"/>
        </w:rPr>
        <w:t>Planiranje rashoda proračunskog korisnika</w:t>
      </w:r>
      <w:r w:rsidR="006D546C" w:rsidRPr="00DA38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546C" w:rsidRPr="00B93CE5" w:rsidRDefault="006D546C" w:rsidP="00B93C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93CE5">
        <w:rPr>
          <w:rFonts w:ascii="Times New Roman" w:hAnsi="Times New Roman" w:cs="Times New Roman"/>
          <w:sz w:val="24"/>
          <w:szCs w:val="24"/>
        </w:rPr>
        <w:t>Sukladno Zakonu o proračunu upute sadrže i visinu rashoda koji se financiraju iz općih prihoda i primitaka te namjenskih primitaka po razdjelima organizacijske klasifikacije za iduću proračunsku godinu i za slijedeće dvije raspoređenu na:</w:t>
      </w:r>
    </w:p>
    <w:p w:rsidR="006D546C" w:rsidRPr="00B93CE5" w:rsidRDefault="006D546C" w:rsidP="00B93C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93CE5">
        <w:rPr>
          <w:rFonts w:ascii="Times New Roman" w:hAnsi="Times New Roman" w:cs="Times New Roman"/>
          <w:sz w:val="24"/>
          <w:szCs w:val="24"/>
        </w:rPr>
        <w:t>a) visinu rashoda potrebnih za provedbu postojećih programa, odnosno aktivnosti, koje proizlaze iz trenutno važećih propisa i</w:t>
      </w:r>
    </w:p>
    <w:p w:rsidR="006D546C" w:rsidRPr="00B93CE5" w:rsidRDefault="006D546C" w:rsidP="00B93C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93CE5">
        <w:rPr>
          <w:rFonts w:ascii="Times New Roman" w:hAnsi="Times New Roman" w:cs="Times New Roman"/>
          <w:sz w:val="24"/>
          <w:szCs w:val="24"/>
        </w:rPr>
        <w:t>b) visinu rashoda potrebnih za uvođenje i provedbu novih ili promjenu postojećih programa, odnosno aktivnosti</w:t>
      </w:r>
    </w:p>
    <w:p w:rsidR="003A4DF6" w:rsidRPr="00DA389C" w:rsidRDefault="003A4DF6" w:rsidP="002C056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413"/>
        <w:gridCol w:w="1418"/>
        <w:gridCol w:w="1559"/>
        <w:gridCol w:w="1139"/>
        <w:gridCol w:w="1559"/>
      </w:tblGrid>
      <w:tr w:rsidR="00482313" w:rsidRPr="00DA389C" w:rsidTr="008A50B0">
        <w:trPr>
          <w:trHeight w:val="39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482313" w:rsidRPr="00DA389C" w:rsidRDefault="00482313" w:rsidP="000D4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Tekući plan 202</w:t>
            </w:r>
            <w:r w:rsidR="000D4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. godina</w:t>
            </w:r>
          </w:p>
        </w:tc>
        <w:tc>
          <w:tcPr>
            <w:tcW w:w="4390" w:type="dxa"/>
            <w:gridSpan w:val="3"/>
            <w:shd w:val="clear" w:color="auto" w:fill="auto"/>
            <w:vAlign w:val="center"/>
          </w:tcPr>
          <w:p w:rsidR="00482313" w:rsidRPr="00DA389C" w:rsidRDefault="00482313" w:rsidP="000D4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D4B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. godina</w:t>
            </w:r>
          </w:p>
        </w:tc>
        <w:tc>
          <w:tcPr>
            <w:tcW w:w="4257" w:type="dxa"/>
            <w:gridSpan w:val="3"/>
            <w:shd w:val="clear" w:color="auto" w:fill="auto"/>
            <w:vAlign w:val="center"/>
          </w:tcPr>
          <w:p w:rsidR="00482313" w:rsidRPr="00DA389C" w:rsidRDefault="00482313" w:rsidP="000D4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D4B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. i 202</w:t>
            </w:r>
            <w:r w:rsidR="000D4B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. godina</w:t>
            </w:r>
          </w:p>
        </w:tc>
      </w:tr>
      <w:tr w:rsidR="00482313" w:rsidRPr="00DA389C" w:rsidTr="007F4671">
        <w:trPr>
          <w:trHeight w:val="390"/>
        </w:trPr>
        <w:tc>
          <w:tcPr>
            <w:tcW w:w="1701" w:type="dxa"/>
            <w:vMerge/>
            <w:shd w:val="clear" w:color="auto" w:fill="auto"/>
            <w:vAlign w:val="center"/>
          </w:tcPr>
          <w:p w:rsidR="00482313" w:rsidRPr="00DA389C" w:rsidRDefault="00482313" w:rsidP="00DA389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82313" w:rsidRPr="00DA389C" w:rsidRDefault="00482313" w:rsidP="00DA389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Limit A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482313" w:rsidRPr="00DA389C" w:rsidRDefault="00482313" w:rsidP="00DA389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Limit B</w:t>
            </w:r>
          </w:p>
        </w:tc>
        <w:tc>
          <w:tcPr>
            <w:tcW w:w="1418" w:type="dxa"/>
            <w:vAlign w:val="center"/>
          </w:tcPr>
          <w:p w:rsidR="00482313" w:rsidRPr="00DA389C" w:rsidRDefault="00482313" w:rsidP="00DA389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2313" w:rsidRPr="00DA389C" w:rsidRDefault="00482313" w:rsidP="00DA389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Limit A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82313" w:rsidRPr="00DA389C" w:rsidRDefault="00482313" w:rsidP="00DA389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Limit B</w:t>
            </w:r>
          </w:p>
        </w:tc>
        <w:tc>
          <w:tcPr>
            <w:tcW w:w="1559" w:type="dxa"/>
            <w:vAlign w:val="center"/>
          </w:tcPr>
          <w:p w:rsidR="00482313" w:rsidRPr="00DA389C" w:rsidRDefault="00482313" w:rsidP="00DA389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389C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</w:tc>
      </w:tr>
      <w:tr w:rsidR="009E1B78" w:rsidRPr="00DA389C" w:rsidTr="007F4671">
        <w:tc>
          <w:tcPr>
            <w:tcW w:w="1701" w:type="dxa"/>
            <w:shd w:val="clear" w:color="auto" w:fill="auto"/>
            <w:vAlign w:val="center"/>
          </w:tcPr>
          <w:p w:rsidR="009E1B78" w:rsidRPr="00DA389C" w:rsidRDefault="00B93CE5" w:rsidP="00133C8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487.200,00€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1B78" w:rsidRPr="00DA389C" w:rsidRDefault="00B93CE5" w:rsidP="00B93CE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520.000,00</w:t>
            </w:r>
            <w:r w:rsidR="009E1B78" w:rsidRPr="00DA389C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A46AD" w:rsidRDefault="00AA46AD" w:rsidP="009E1B7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6AD" w:rsidRPr="00DA389C" w:rsidRDefault="00B93CE5" w:rsidP="009E1B7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9E1B78" w:rsidRPr="00DA389C" w:rsidRDefault="009E1B78" w:rsidP="00AA46A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CE5" w:rsidRDefault="00B93CE5" w:rsidP="007F467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78" w:rsidRPr="00DA389C" w:rsidRDefault="00B93CE5" w:rsidP="007F467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520.000,00€</w:t>
            </w:r>
          </w:p>
        </w:tc>
        <w:tc>
          <w:tcPr>
            <w:tcW w:w="1559" w:type="dxa"/>
            <w:shd w:val="clear" w:color="auto" w:fill="auto"/>
          </w:tcPr>
          <w:p w:rsidR="00AA46AD" w:rsidRDefault="00AA46AD" w:rsidP="00AA46A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78" w:rsidRPr="00DA389C" w:rsidRDefault="00B93CE5" w:rsidP="00B93CE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540.000,00 €</w:t>
            </w:r>
          </w:p>
        </w:tc>
        <w:tc>
          <w:tcPr>
            <w:tcW w:w="1139" w:type="dxa"/>
            <w:shd w:val="clear" w:color="auto" w:fill="auto"/>
          </w:tcPr>
          <w:p w:rsidR="008A50B0" w:rsidRDefault="008A50B0" w:rsidP="009E1B7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78" w:rsidRPr="00DA389C" w:rsidRDefault="00B93CE5" w:rsidP="009E1B7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AA46AD" w:rsidRDefault="00AA46AD" w:rsidP="00AA46A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78" w:rsidRPr="00DA389C" w:rsidRDefault="007F4671" w:rsidP="00B93CE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3CE5"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  <w:r w:rsidR="00AA4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78" w:rsidRPr="00DA389C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:rsidR="003A1C1C" w:rsidRDefault="003A1C1C" w:rsidP="0097609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C1C" w:rsidRDefault="003A1C1C" w:rsidP="0097609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C1C" w:rsidRDefault="003A1C1C" w:rsidP="0097609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565" w:rsidRDefault="00B93CE5" w:rsidP="0097609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4.10</w:t>
      </w:r>
      <w:r w:rsidR="00A72071" w:rsidRPr="00DA389C">
        <w:rPr>
          <w:rFonts w:ascii="Times New Roman" w:hAnsi="Times New Roman" w:cs="Times New Roman"/>
          <w:b/>
          <w:sz w:val="24"/>
          <w:szCs w:val="24"/>
        </w:rPr>
        <w:t>.</w:t>
      </w:r>
      <w:r w:rsidR="00976090" w:rsidRPr="00DA38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565">
        <w:rPr>
          <w:rFonts w:ascii="Times New Roman" w:hAnsi="Times New Roman" w:cs="Times New Roman"/>
          <w:b/>
          <w:sz w:val="24"/>
          <w:szCs w:val="24"/>
        </w:rPr>
        <w:t>Terminski plan za izradu proračuna i financijskog plana proračunskog korisnika</w:t>
      </w:r>
    </w:p>
    <w:p w:rsidR="0038274C" w:rsidRPr="00DA389C" w:rsidRDefault="001C0565" w:rsidP="009760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C0565">
        <w:rPr>
          <w:rFonts w:ascii="Times New Roman" w:hAnsi="Times New Roman" w:cs="Times New Roman"/>
          <w:sz w:val="24"/>
          <w:szCs w:val="24"/>
        </w:rPr>
        <w:t>P</w:t>
      </w:r>
      <w:r w:rsidR="0038274C" w:rsidRPr="00DA389C">
        <w:rPr>
          <w:rFonts w:ascii="Times New Roman" w:hAnsi="Times New Roman" w:cs="Times New Roman"/>
          <w:sz w:val="24"/>
          <w:szCs w:val="24"/>
        </w:rPr>
        <w:t xml:space="preserve">oračunski korisnici Općine Posedarje dužni su dostaviti prijedloge svojih financijskih planova Jedinstvenom upravnom odjelu do </w:t>
      </w:r>
      <w:r w:rsidR="00490FDB">
        <w:rPr>
          <w:rFonts w:ascii="Times New Roman" w:hAnsi="Times New Roman" w:cs="Times New Roman"/>
          <w:sz w:val="24"/>
          <w:szCs w:val="24"/>
        </w:rPr>
        <w:t>31</w:t>
      </w:r>
      <w:r w:rsidR="0038274C" w:rsidRPr="00DA389C">
        <w:rPr>
          <w:rFonts w:ascii="Times New Roman" w:hAnsi="Times New Roman" w:cs="Times New Roman"/>
          <w:sz w:val="24"/>
          <w:szCs w:val="24"/>
        </w:rPr>
        <w:t>.listopada 202</w:t>
      </w:r>
      <w:r w:rsidR="00490FDB">
        <w:rPr>
          <w:rFonts w:ascii="Times New Roman" w:hAnsi="Times New Roman" w:cs="Times New Roman"/>
          <w:sz w:val="24"/>
          <w:szCs w:val="24"/>
        </w:rPr>
        <w:t>5</w:t>
      </w:r>
      <w:r w:rsidR="0038274C" w:rsidRPr="00DA389C">
        <w:rPr>
          <w:rFonts w:ascii="Times New Roman" w:hAnsi="Times New Roman" w:cs="Times New Roman"/>
          <w:sz w:val="24"/>
          <w:szCs w:val="24"/>
        </w:rPr>
        <w:t xml:space="preserve">. g. Financijski planovi moraju biti izrađeni sukladno propisanoj metodologiji i financijskim okvirima zadanim ovim Uputama. </w:t>
      </w:r>
    </w:p>
    <w:p w:rsidR="00B35577" w:rsidRPr="00DA389C" w:rsidRDefault="00B35577" w:rsidP="009760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lastRenderedPageBreak/>
        <w:t>Jedinstveni upravni odjel razmatra prijedloge i usklađuje financijske planove s procijenjenim prihodima te izrađuje nacrt prijedloga Proračuna Općine Posedarje za 202</w:t>
      </w:r>
      <w:r w:rsidR="00490FDB">
        <w:rPr>
          <w:rFonts w:ascii="Times New Roman" w:hAnsi="Times New Roman" w:cs="Times New Roman"/>
          <w:sz w:val="24"/>
          <w:szCs w:val="24"/>
        </w:rPr>
        <w:t>6</w:t>
      </w:r>
      <w:r w:rsidRPr="00DA389C">
        <w:rPr>
          <w:rFonts w:ascii="Times New Roman" w:hAnsi="Times New Roman" w:cs="Times New Roman"/>
          <w:sz w:val="24"/>
          <w:szCs w:val="24"/>
        </w:rPr>
        <w:t>.g., projekcije za 202</w:t>
      </w:r>
      <w:r w:rsidR="00490FDB">
        <w:rPr>
          <w:rFonts w:ascii="Times New Roman" w:hAnsi="Times New Roman" w:cs="Times New Roman"/>
          <w:sz w:val="24"/>
          <w:szCs w:val="24"/>
        </w:rPr>
        <w:t>7</w:t>
      </w:r>
      <w:r w:rsidRPr="00DA389C">
        <w:rPr>
          <w:rFonts w:ascii="Times New Roman" w:hAnsi="Times New Roman" w:cs="Times New Roman"/>
          <w:sz w:val="24"/>
          <w:szCs w:val="24"/>
        </w:rPr>
        <w:t>. i 202</w:t>
      </w:r>
      <w:r w:rsidR="00490FDB">
        <w:rPr>
          <w:rFonts w:ascii="Times New Roman" w:hAnsi="Times New Roman" w:cs="Times New Roman"/>
          <w:sz w:val="24"/>
          <w:szCs w:val="24"/>
        </w:rPr>
        <w:t>8</w:t>
      </w:r>
      <w:r w:rsidRPr="00DA389C">
        <w:rPr>
          <w:rFonts w:ascii="Times New Roman" w:hAnsi="Times New Roman" w:cs="Times New Roman"/>
          <w:sz w:val="24"/>
          <w:szCs w:val="24"/>
        </w:rPr>
        <w:t xml:space="preserve">. godinu, i dostavlja ih načelniku Općine Posedarje do </w:t>
      </w:r>
      <w:r w:rsidR="00490FDB">
        <w:rPr>
          <w:rFonts w:ascii="Times New Roman" w:hAnsi="Times New Roman" w:cs="Times New Roman"/>
          <w:sz w:val="24"/>
          <w:szCs w:val="24"/>
        </w:rPr>
        <w:t>05.studenog 2025</w:t>
      </w:r>
      <w:r w:rsidRPr="00DA389C">
        <w:rPr>
          <w:rFonts w:ascii="Times New Roman" w:hAnsi="Times New Roman" w:cs="Times New Roman"/>
          <w:sz w:val="24"/>
          <w:szCs w:val="24"/>
        </w:rPr>
        <w:t>.g.</w:t>
      </w:r>
    </w:p>
    <w:p w:rsidR="00B35577" w:rsidRPr="00DA389C" w:rsidRDefault="00B35577" w:rsidP="009760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Načelnik Općine utvrđuje prijedlog Plana proračuna Općine Posedarje za 202</w:t>
      </w:r>
      <w:r w:rsidR="00490FDB">
        <w:rPr>
          <w:rFonts w:ascii="Times New Roman" w:hAnsi="Times New Roman" w:cs="Times New Roman"/>
          <w:sz w:val="24"/>
          <w:szCs w:val="24"/>
        </w:rPr>
        <w:t>6</w:t>
      </w:r>
      <w:r w:rsidRPr="00DA389C">
        <w:rPr>
          <w:rFonts w:ascii="Times New Roman" w:hAnsi="Times New Roman" w:cs="Times New Roman"/>
          <w:sz w:val="24"/>
          <w:szCs w:val="24"/>
        </w:rPr>
        <w:t>.g. s projekcijama za 202</w:t>
      </w:r>
      <w:r w:rsidR="00490FDB">
        <w:rPr>
          <w:rFonts w:ascii="Times New Roman" w:hAnsi="Times New Roman" w:cs="Times New Roman"/>
          <w:sz w:val="24"/>
          <w:szCs w:val="24"/>
        </w:rPr>
        <w:t>7</w:t>
      </w:r>
      <w:r w:rsidRPr="00DA389C">
        <w:rPr>
          <w:rFonts w:ascii="Times New Roman" w:hAnsi="Times New Roman" w:cs="Times New Roman"/>
          <w:sz w:val="24"/>
          <w:szCs w:val="24"/>
        </w:rPr>
        <w:t xml:space="preserve"> i 202</w:t>
      </w:r>
      <w:r w:rsidR="00490FDB">
        <w:rPr>
          <w:rFonts w:ascii="Times New Roman" w:hAnsi="Times New Roman" w:cs="Times New Roman"/>
          <w:sz w:val="24"/>
          <w:szCs w:val="24"/>
        </w:rPr>
        <w:t>8</w:t>
      </w:r>
      <w:r w:rsidRPr="00DA389C">
        <w:rPr>
          <w:rFonts w:ascii="Times New Roman" w:hAnsi="Times New Roman" w:cs="Times New Roman"/>
          <w:sz w:val="24"/>
          <w:szCs w:val="24"/>
        </w:rPr>
        <w:t>.g. te ih podnosi Općinskom vijeću na donošenje do 15.studenog 202</w:t>
      </w:r>
      <w:r w:rsidR="00490FDB">
        <w:rPr>
          <w:rFonts w:ascii="Times New Roman" w:hAnsi="Times New Roman" w:cs="Times New Roman"/>
          <w:sz w:val="24"/>
          <w:szCs w:val="24"/>
        </w:rPr>
        <w:t>5</w:t>
      </w:r>
      <w:r w:rsidRPr="00DA389C">
        <w:rPr>
          <w:rFonts w:ascii="Times New Roman" w:hAnsi="Times New Roman" w:cs="Times New Roman"/>
          <w:sz w:val="24"/>
          <w:szCs w:val="24"/>
        </w:rPr>
        <w:t>.g.</w:t>
      </w:r>
    </w:p>
    <w:p w:rsidR="00B35577" w:rsidRPr="00DA389C" w:rsidRDefault="00B35577" w:rsidP="009760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Sukladno članku 39. zakona o proračunu, predstavničko tijelo donosi Proračun Općine Posedarje za 202</w:t>
      </w:r>
      <w:r w:rsidR="00490FDB">
        <w:rPr>
          <w:rFonts w:ascii="Times New Roman" w:hAnsi="Times New Roman" w:cs="Times New Roman"/>
          <w:sz w:val="24"/>
          <w:szCs w:val="24"/>
        </w:rPr>
        <w:t>6</w:t>
      </w:r>
      <w:r w:rsidRPr="00DA389C">
        <w:rPr>
          <w:rFonts w:ascii="Times New Roman" w:hAnsi="Times New Roman" w:cs="Times New Roman"/>
          <w:sz w:val="24"/>
          <w:szCs w:val="24"/>
        </w:rPr>
        <w:t>.g. s projekcijama za 202</w:t>
      </w:r>
      <w:r w:rsidR="00490FDB">
        <w:rPr>
          <w:rFonts w:ascii="Times New Roman" w:hAnsi="Times New Roman" w:cs="Times New Roman"/>
          <w:sz w:val="24"/>
          <w:szCs w:val="24"/>
        </w:rPr>
        <w:t>7</w:t>
      </w:r>
      <w:r w:rsidRPr="00DA389C">
        <w:rPr>
          <w:rFonts w:ascii="Times New Roman" w:hAnsi="Times New Roman" w:cs="Times New Roman"/>
          <w:sz w:val="24"/>
          <w:szCs w:val="24"/>
        </w:rPr>
        <w:t>. i 202</w:t>
      </w:r>
      <w:r w:rsidR="00490FDB">
        <w:rPr>
          <w:rFonts w:ascii="Times New Roman" w:hAnsi="Times New Roman" w:cs="Times New Roman"/>
          <w:sz w:val="24"/>
          <w:szCs w:val="24"/>
        </w:rPr>
        <w:t>8</w:t>
      </w:r>
      <w:r w:rsidRPr="00DA389C">
        <w:rPr>
          <w:rFonts w:ascii="Times New Roman" w:hAnsi="Times New Roman" w:cs="Times New Roman"/>
          <w:sz w:val="24"/>
          <w:szCs w:val="24"/>
        </w:rPr>
        <w:t>.g. najkasnije do 31.prosinca 202</w:t>
      </w:r>
      <w:r w:rsidR="00490FDB">
        <w:rPr>
          <w:rFonts w:ascii="Times New Roman" w:hAnsi="Times New Roman" w:cs="Times New Roman"/>
          <w:sz w:val="24"/>
          <w:szCs w:val="24"/>
        </w:rPr>
        <w:t>5</w:t>
      </w:r>
      <w:r w:rsidRPr="00DA389C">
        <w:rPr>
          <w:rFonts w:ascii="Times New Roman" w:hAnsi="Times New Roman" w:cs="Times New Roman"/>
          <w:sz w:val="24"/>
          <w:szCs w:val="24"/>
        </w:rPr>
        <w:t>.g.</w:t>
      </w:r>
    </w:p>
    <w:p w:rsidR="00A72071" w:rsidRPr="00DA389C" w:rsidRDefault="00A72071" w:rsidP="009760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90FDB" w:rsidRDefault="00490FDB" w:rsidP="0097609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4.11. Uvođenje obveze poslovanja jedinice lokalne i područne (regionalne) samouprave preko jedinstvenog računa riznice</w:t>
      </w:r>
    </w:p>
    <w:p w:rsidR="00DF2A43" w:rsidRPr="00DF2A43" w:rsidRDefault="00DF2A43" w:rsidP="00DF2A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A43">
        <w:rPr>
          <w:rFonts w:ascii="Times New Roman" w:hAnsi="Times New Roman" w:cs="Times New Roman"/>
          <w:color w:val="000000"/>
          <w:sz w:val="24"/>
          <w:szCs w:val="24"/>
        </w:rPr>
        <w:t xml:space="preserve">Temeljem članka 50. st.2. Zakona o proračunu jedinice lokalne i područne (regionalne) samouprave obvezne su imati jedinstveni račun proračuna koji se otvara i vodi u kreditnoj instituciji, a na kojem se ostvaruju svi priljevi i izvršavaju svi odljevi proračuna i proračunskih korisnika jedinice lokalne i područne (regionalne) samouprave. </w:t>
      </w:r>
    </w:p>
    <w:p w:rsidR="00DF2A43" w:rsidRPr="00DF2A43" w:rsidRDefault="00DF2A43" w:rsidP="00DF2A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A43">
        <w:rPr>
          <w:rFonts w:ascii="Times New Roman" w:hAnsi="Times New Roman" w:cs="Times New Roman"/>
          <w:color w:val="000000"/>
          <w:sz w:val="24"/>
          <w:szCs w:val="24"/>
        </w:rPr>
        <w:t xml:space="preserve">Sustav poslovanja preko jedinstvenog računa proračuna podržava efikasno upravljanje viškovima i manjkovima proračunskog sustava, pruža točne i pravovremene informacije o novčanim tokovima proračuna i proračunskih korisnika, omogućava sveobuhvatnije i točnije projekcije likvidnosti te praćenje i nadzor nad naplatom prihoda i primitaka i drugih priljeva odnosno pravovremeno izvršavanje rashoda i izdataka i drugih odljeva, što osigurava realnije i kvalitetnije planiranje i izvršavanje proračuna. </w:t>
      </w:r>
    </w:p>
    <w:p w:rsidR="00DF2A43" w:rsidRDefault="00DF2A43" w:rsidP="00DF2A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A43">
        <w:rPr>
          <w:rFonts w:ascii="Times New Roman" w:hAnsi="Times New Roman" w:cs="Times New Roman"/>
          <w:color w:val="000000"/>
          <w:sz w:val="24"/>
          <w:szCs w:val="24"/>
        </w:rPr>
        <w:t xml:space="preserve">Pravilnik o proračunskom računovodstvu i Računskom planu dodatno je, kao nadogradnju jedinstvenom računu proračuna, propisao </w:t>
      </w:r>
      <w:r w:rsidRPr="00DF2A4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obvezu uvođenja Objedinjene glavne knjige proračuna</w:t>
      </w:r>
      <w:r w:rsidRPr="00DF2A43">
        <w:rPr>
          <w:rFonts w:ascii="Times New Roman" w:hAnsi="Times New Roman" w:cs="Times New Roman"/>
          <w:color w:val="000000"/>
          <w:sz w:val="24"/>
          <w:szCs w:val="24"/>
        </w:rPr>
        <w:t>, sustava koji, kao nadopuna postojećim Glavnim knjigama proračuna i Glavnim knjigama proračunskih korisnika, na jednom mjestu objedinjava podatke o poslovnim događajima iz Glavne knjige proračuna i Glavnih knjiga proračunskih korisnika iz nadležnosti proračuna. Proračuni čiji su proračunski korisnici u trenutku stupanja na snagu Pravilnika poslovali preko jedinstvenog računa proračuna, bili su obvezni uspostaviti Objedinjenu glavnu knjigu proračuna do 1. siječnja 2025. Proračuni čiji proračunski korisnici u trenutku stupanja na snagu ovoga Pravilnika ne posluju preko jedinstvenog računa proračuna već preko vlastitih računa u poslovnim bankama, obvezni su uspostaviti Objedinjenu glavnu knjigu proračuna do 1. siječnja 2026.</w:t>
      </w:r>
    </w:p>
    <w:p w:rsidR="00DF2A43" w:rsidRDefault="00DF2A43" w:rsidP="00DF2A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Općina Posedarje je s danom 01.srpnja 2025. godine uspostavila punu RIZNICU na način da i proračunski korisnik Dječji vrtić Cvrčak Posedarje posluje preko jedinstvenog računa otvorenog u Hrvatskoj poštanskoj banci.</w:t>
      </w:r>
    </w:p>
    <w:p w:rsidR="008F3524" w:rsidRDefault="008F3524" w:rsidP="008F352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3524" w:rsidRDefault="008F3524" w:rsidP="008F352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3524" w:rsidRDefault="008F3524" w:rsidP="008F352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3524" w:rsidRDefault="008F3524" w:rsidP="008F352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3524" w:rsidRDefault="008F3524" w:rsidP="008F352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3524" w:rsidRPr="008F3524" w:rsidRDefault="008F3524" w:rsidP="008F352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352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5. OPIS PLANIRANIH POLITIKA OPĆINE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POSEDARJE</w:t>
      </w:r>
    </w:p>
    <w:p w:rsidR="008F3524" w:rsidRDefault="008F3524" w:rsidP="008F35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524">
        <w:rPr>
          <w:rFonts w:ascii="Times New Roman" w:hAnsi="Times New Roman" w:cs="Times New Roman"/>
          <w:color w:val="000000"/>
          <w:sz w:val="24"/>
          <w:szCs w:val="24"/>
        </w:rPr>
        <w:t>Vizija, misija i mandat Misija Općine Posedarje (2025.–2029.) jest osigurati transparentno, odgovorno i strateški usmjereno upravljanje, s naglaskom na demografsku obnovu i zadržavanje mladih obitelji kroz poticanje zapošljavanja, stambene politike i društvenih sadržaja. Cilj je stvaranje pozitivnog okruženja i preduvjeta za društveno-gospodarski održivi razvoj, temeljen na poduzetništvu, poljoprivredi i turizmu, uz istodobno ulaganje u digitalnu i zelenu tranziciju te učinkovito upravljanje javnim resursima, zaštitu i očuvanje okoliša. Vizija Općine Posedarje (2025.–2029.) je biti privlačna, gospodarski snažna i društveno uključiva sredina koja osigurava kvalitetne životne uvjete za mlade i obitelji, uz razvoj održive poljoprivrede i turizma, jačanje prometne povezanosti, očuvanje prirodnih resursa i njegovanje posedarske tradicije. Općina teži tome da postane zajednica u kojoj mladi žele os</w:t>
      </w:r>
      <w:r>
        <w:rPr>
          <w:rFonts w:ascii="Times New Roman" w:hAnsi="Times New Roman" w:cs="Times New Roman"/>
          <w:color w:val="000000"/>
          <w:sz w:val="24"/>
          <w:szCs w:val="24"/>
        </w:rPr>
        <w:t>tati, a nove obitelji doseliti.</w:t>
      </w:r>
    </w:p>
    <w:p w:rsidR="008F3524" w:rsidRDefault="008F3524" w:rsidP="008F35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Provedbeni program Općine Posedarje za razdoblje od 2025.godine do 2029.godine donesen je u rujnu 2025.godine i dostupan je na službenim stranicama Općine Posedarje i to na linku:</w:t>
      </w:r>
    </w:p>
    <w:p w:rsidR="008F3524" w:rsidRDefault="00D0109E" w:rsidP="008F3524">
      <w:pPr>
        <w:rPr>
          <w:rFonts w:cs="Times New Roman"/>
          <w:bCs/>
          <w:color w:val="000000"/>
        </w:rPr>
      </w:pPr>
      <w:hyperlink r:id="rId10" w:history="1">
        <w:r w:rsidR="00D15BBE" w:rsidRPr="00651318">
          <w:rPr>
            <w:rStyle w:val="Hyperlink"/>
            <w:rFonts w:cs="Times New Roman"/>
            <w:bCs/>
          </w:rPr>
          <w:t>https://opcina-posedarje.hr/images/Dokumenti/PROVEDBENI_PROGRAM_OPINE_POSEDARJE_2025-2029</w:t>
        </w:r>
      </w:hyperlink>
      <w:r w:rsidR="00D15BBE" w:rsidRPr="00D15BBE">
        <w:rPr>
          <w:rFonts w:cs="Times New Roman"/>
          <w:bCs/>
          <w:color w:val="000000"/>
        </w:rPr>
        <w:t>.</w:t>
      </w:r>
    </w:p>
    <w:p w:rsidR="00D15BBE" w:rsidRPr="00D15BBE" w:rsidRDefault="00D15BBE" w:rsidP="00D15BBE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5BBE">
        <w:rPr>
          <w:rFonts w:ascii="Times New Roman" w:hAnsi="Times New Roman" w:cs="Times New Roman"/>
          <w:bCs/>
          <w:color w:val="000000"/>
          <w:sz w:val="24"/>
          <w:szCs w:val="24"/>
        </w:rPr>
        <w:t>Provedbeni program Općine Posedarje predstavlja kratkoročni akt strateškog planiranja kojim se detaljno određuju prioritetne mjere i aktivnosti za provedbu ciljeva iz hijerarhijski viših razvojnih dokumenata, osiguravajući pritom i poveznicu s proračunom Općine. Donosi ga Općinski načelnik kao izvršno tijelo Općine Posedarje za mandatno razdoblje od 2025. do 2029. godine. Sadržaj Provedbenog programa izrađen je u skladu s metodologijom strateškog planiranja te usklađen s višim razvojnim dokumentima, ponajprije s Planom razvoja Zadarske županije 2021. – 2027. te Nacionalnom razvojnom strategijom Republike Hrvatske do 2030. godine. Program ima izniman značaj za Općinu Posedarje jer usmjerava gospodarski i društveni razvoj njezina područja. Provedba mjera ključna je za održivi razvoj Općine, uzimajući u obzir njezine prednosti i ograničenja. U okviru samoupravnog djelokruga, primjena programa pridonosi povećanju prilagodljivosti i otpornosti na vanjske utjecaje te smanjenju ekonomskih i socijalnih nejednakosti na području Općine Posedarje.</w:t>
      </w:r>
    </w:p>
    <w:p w:rsidR="00D15BBE" w:rsidRDefault="00D15BBE" w:rsidP="008F352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5BBE">
        <w:rPr>
          <w:rFonts w:ascii="Times New Roman" w:hAnsi="Times New Roman" w:cs="Times New Roman"/>
          <w:bCs/>
          <w:color w:val="000000"/>
          <w:sz w:val="24"/>
          <w:szCs w:val="24"/>
        </w:rPr>
        <w:t>Prioriteti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djelovanja Općine Posedarje su:</w:t>
      </w:r>
    </w:p>
    <w:p w:rsidR="00D15BBE" w:rsidRDefault="00D15BBE" w:rsidP="00D15BBE">
      <w:pPr>
        <w:pStyle w:val="ListParagraph"/>
        <w:numPr>
          <w:ilvl w:val="0"/>
          <w:numId w:val="35"/>
        </w:numPr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Pametan i uključiv razvoj gospodarstva i zajednice</w:t>
      </w:r>
    </w:p>
    <w:p w:rsidR="00D15BBE" w:rsidRDefault="00D15BBE" w:rsidP="00D15BBE">
      <w:pPr>
        <w:pStyle w:val="ListParagraph"/>
        <w:numPr>
          <w:ilvl w:val="0"/>
          <w:numId w:val="35"/>
        </w:numPr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Poboljšanje kvalitete života i zdravlje te otpornost zajednice</w:t>
      </w:r>
    </w:p>
    <w:p w:rsidR="00D15BBE" w:rsidRDefault="00D15BBE" w:rsidP="00D15BBE">
      <w:pPr>
        <w:pStyle w:val="ListParagraph"/>
        <w:numPr>
          <w:ilvl w:val="0"/>
          <w:numId w:val="35"/>
        </w:numPr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Zeleno i održivo upravljanje prostorom i resursima</w:t>
      </w:r>
    </w:p>
    <w:p w:rsidR="00D15BBE" w:rsidRPr="00D15BBE" w:rsidRDefault="00D15BBE" w:rsidP="00D15BBE">
      <w:pPr>
        <w:pStyle w:val="ListParagraph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5BBE" w:rsidRPr="00FF484E" w:rsidRDefault="00D15BBE" w:rsidP="00D15B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F484E">
        <w:rPr>
          <w:rFonts w:ascii="Times New Roman" w:hAnsi="Times New Roman" w:cs="Times New Roman"/>
          <w:b/>
          <w:sz w:val="24"/>
          <w:szCs w:val="24"/>
        </w:rPr>
        <w:t>6. PROCJENA PRIHODA I RASHODA TE PRIMITAKA I IZDATAKA PRORAČUNA OPĆINE POSEDARJE ZA RAZDOBLJE OD 2026.- 2028.GODINE</w:t>
      </w:r>
    </w:p>
    <w:p w:rsidR="00D15BBE" w:rsidRDefault="00D15BBE" w:rsidP="008F3524">
      <w:pPr>
        <w:rPr>
          <w:rFonts w:cs="Times New Roman"/>
          <w:bCs/>
          <w:color w:val="000000"/>
        </w:rPr>
      </w:pPr>
    </w:p>
    <w:p w:rsidR="00D15BBE" w:rsidRPr="00D15BBE" w:rsidRDefault="00D15BBE" w:rsidP="00D15B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15BBE">
        <w:rPr>
          <w:rFonts w:ascii="Times New Roman" w:hAnsi="Times New Roman" w:cs="Times New Roman"/>
          <w:sz w:val="24"/>
          <w:szCs w:val="24"/>
        </w:rPr>
        <w:t>Prihodi jedinica lokalne i područne (regionalne) samouprave planiraju se na temelju istih makroekonomskih pretpostavki kao i kod prihoda državnog proračuna, u skladu s trenutnim kretanjima i makroekonomskim projekcijama za spomenuto razdoblje.</w:t>
      </w:r>
    </w:p>
    <w:p w:rsidR="00D15BBE" w:rsidRPr="00D15BBE" w:rsidRDefault="00D15BBE" w:rsidP="00D15BB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15BBE" w:rsidRDefault="00D15BBE" w:rsidP="00FF484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BB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Prihodi od poreza očekuju se u većem iznosu s obzirom na povoljnije makroekonomske uvjete, bolju zaposlenost i konzistentan rast prihoda od poreza u posljednjih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godina. Sredinom 2025.godine započeo je završni dio sređivanja zemljišnih knjiga </w:t>
      </w:r>
      <w:r w:rsidR="00FF484E">
        <w:rPr>
          <w:rFonts w:ascii="Times New Roman" w:hAnsi="Times New Roman" w:cs="Times New Roman"/>
          <w:color w:val="000000"/>
          <w:sz w:val="24"/>
          <w:szCs w:val="24"/>
        </w:rPr>
        <w:t>pa se shodno tim u narednom trogodišnjem razdoblju očekuje povećanje prihoda po posebnim propisima i to prvenstveno prihoda od komunalnog doprinosa.</w:t>
      </w:r>
    </w:p>
    <w:p w:rsidR="00FF484E" w:rsidRDefault="00FF484E" w:rsidP="00FF484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2026.godini Općina Posedarje započima s Projektom razvoja zelene infrastrukture i kružnog gospodarenja prostorom i zgradama Općine Posedarje koji se u 100%-om iznosu financira iz sredstva Ministarstva prostornog uređenja, graditeljstva i državne imovine.</w:t>
      </w:r>
    </w:p>
    <w:p w:rsidR="00D15BBE" w:rsidRPr="00D15BBE" w:rsidRDefault="00D15BBE" w:rsidP="00D15BBE">
      <w:pPr>
        <w:tabs>
          <w:tab w:val="left" w:pos="0"/>
        </w:tabs>
        <w:rPr>
          <w:rFonts w:ascii="Times New Roman" w:hAnsi="Times New Roman" w:cs="Times New Roman"/>
          <w:bCs/>
          <w:sz w:val="24"/>
          <w:szCs w:val="24"/>
        </w:rPr>
      </w:pPr>
    </w:p>
    <w:p w:rsidR="00D15BBE" w:rsidRPr="00D15BBE" w:rsidRDefault="00D15BBE" w:rsidP="00D15BB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5BBE" w:rsidRPr="00D15BBE" w:rsidRDefault="00D15BBE" w:rsidP="00E96762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15BBE">
        <w:rPr>
          <w:rFonts w:ascii="Times New Roman" w:hAnsi="Times New Roman" w:cs="Times New Roman"/>
          <w:b/>
          <w:bCs/>
          <w:sz w:val="24"/>
          <w:szCs w:val="24"/>
        </w:rPr>
        <w:t xml:space="preserve">7. TERMINSKI PLAN ZA IZRADU PRORAČUNA I PRIJEDLOGA FINANCIJSKOG PLANA PRORAČUNSKOG KORISNIKA OPĆINE STARIGRAD </w:t>
      </w:r>
    </w:p>
    <w:p w:rsidR="00D15BBE" w:rsidRDefault="00D15BBE" w:rsidP="00D15BB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484E" w:rsidRPr="00DA389C" w:rsidRDefault="00FF484E" w:rsidP="00FF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C0565">
        <w:rPr>
          <w:rFonts w:ascii="Times New Roman" w:hAnsi="Times New Roman" w:cs="Times New Roman"/>
          <w:sz w:val="24"/>
          <w:szCs w:val="24"/>
        </w:rPr>
        <w:t>P</w:t>
      </w:r>
      <w:r w:rsidRPr="00DA389C">
        <w:rPr>
          <w:rFonts w:ascii="Times New Roman" w:hAnsi="Times New Roman" w:cs="Times New Roman"/>
          <w:sz w:val="24"/>
          <w:szCs w:val="24"/>
        </w:rPr>
        <w:t xml:space="preserve">oračunski korisnici Općine Posedarje dužni su dostaviti prijedloge svojih financijskih planova Jedinstvenom upravnom odjelu do </w:t>
      </w:r>
      <w:r>
        <w:rPr>
          <w:rFonts w:ascii="Times New Roman" w:hAnsi="Times New Roman" w:cs="Times New Roman"/>
          <w:sz w:val="24"/>
          <w:szCs w:val="24"/>
        </w:rPr>
        <w:t>31.</w:t>
      </w:r>
      <w:r w:rsidRPr="00DA389C">
        <w:rPr>
          <w:rFonts w:ascii="Times New Roman" w:hAnsi="Times New Roman" w:cs="Times New Roman"/>
          <w:sz w:val="24"/>
          <w:szCs w:val="24"/>
        </w:rPr>
        <w:t>listopada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389C">
        <w:rPr>
          <w:rFonts w:ascii="Times New Roman" w:hAnsi="Times New Roman" w:cs="Times New Roman"/>
          <w:sz w:val="24"/>
          <w:szCs w:val="24"/>
        </w:rPr>
        <w:t xml:space="preserve">. g. Financijski planovi moraju biti izrađeni sukladno propisanoj metodologiji i financijskim okvirima zadanim ovim Uputama. </w:t>
      </w:r>
    </w:p>
    <w:p w:rsidR="00FF484E" w:rsidRPr="00DA389C" w:rsidRDefault="00FF484E" w:rsidP="00FF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Jedinstveni upravni odjel razmatra prijedloge i usklađuje financijske planove s procijenjenim prihodima te izrađuje nacrt prijedloga Proračuna Općine Posedarje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A389C">
        <w:rPr>
          <w:rFonts w:ascii="Times New Roman" w:hAnsi="Times New Roman" w:cs="Times New Roman"/>
          <w:sz w:val="24"/>
          <w:szCs w:val="24"/>
        </w:rPr>
        <w:t>.g., projekcije za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A389C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A389C">
        <w:rPr>
          <w:rFonts w:ascii="Times New Roman" w:hAnsi="Times New Roman" w:cs="Times New Roman"/>
          <w:sz w:val="24"/>
          <w:szCs w:val="24"/>
        </w:rPr>
        <w:t xml:space="preserve">. godinu, i dostavlja ih načelniku Općine Posedarje do </w:t>
      </w:r>
      <w:r>
        <w:rPr>
          <w:rFonts w:ascii="Times New Roman" w:hAnsi="Times New Roman" w:cs="Times New Roman"/>
          <w:sz w:val="24"/>
          <w:szCs w:val="24"/>
        </w:rPr>
        <w:t>07.studenog</w:t>
      </w:r>
      <w:r w:rsidRPr="00DA389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389C">
        <w:rPr>
          <w:rFonts w:ascii="Times New Roman" w:hAnsi="Times New Roman" w:cs="Times New Roman"/>
          <w:sz w:val="24"/>
          <w:szCs w:val="24"/>
        </w:rPr>
        <w:t>.g</w:t>
      </w:r>
      <w:r>
        <w:rPr>
          <w:rFonts w:ascii="Times New Roman" w:hAnsi="Times New Roman" w:cs="Times New Roman"/>
          <w:sz w:val="24"/>
          <w:szCs w:val="24"/>
        </w:rPr>
        <w:t>odinu</w:t>
      </w:r>
      <w:r w:rsidRPr="00DA389C">
        <w:rPr>
          <w:rFonts w:ascii="Times New Roman" w:hAnsi="Times New Roman" w:cs="Times New Roman"/>
          <w:sz w:val="24"/>
          <w:szCs w:val="24"/>
        </w:rPr>
        <w:t>.</w:t>
      </w:r>
    </w:p>
    <w:p w:rsidR="00FF484E" w:rsidRPr="00DA389C" w:rsidRDefault="00FF484E" w:rsidP="00FF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Načelnik Općine utvrđuje prijedlog Plana proračuna Općine Posedarje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A38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godinu</w:t>
      </w:r>
      <w:r w:rsidRPr="00DA389C">
        <w:rPr>
          <w:rFonts w:ascii="Times New Roman" w:hAnsi="Times New Roman" w:cs="Times New Roman"/>
          <w:sz w:val="24"/>
          <w:szCs w:val="24"/>
        </w:rPr>
        <w:t xml:space="preserve"> s projekcijama za 202</w:t>
      </w:r>
      <w:r w:rsidR="000420E4">
        <w:rPr>
          <w:rFonts w:ascii="Times New Roman" w:hAnsi="Times New Roman" w:cs="Times New Roman"/>
          <w:sz w:val="24"/>
          <w:szCs w:val="24"/>
        </w:rPr>
        <w:t>7</w:t>
      </w:r>
      <w:r w:rsidRPr="00DA389C">
        <w:rPr>
          <w:rFonts w:ascii="Times New Roman" w:hAnsi="Times New Roman" w:cs="Times New Roman"/>
          <w:sz w:val="24"/>
          <w:szCs w:val="24"/>
        </w:rPr>
        <w:t xml:space="preserve"> i 202</w:t>
      </w:r>
      <w:r w:rsidR="000420E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.godinu</w:t>
      </w:r>
      <w:r w:rsidRPr="00DA389C">
        <w:rPr>
          <w:rFonts w:ascii="Times New Roman" w:hAnsi="Times New Roman" w:cs="Times New Roman"/>
          <w:sz w:val="24"/>
          <w:szCs w:val="24"/>
        </w:rPr>
        <w:t xml:space="preserve"> te ih podnosi Općinskom vijeću na donošenje do 15.studenog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389C">
        <w:rPr>
          <w:rFonts w:ascii="Times New Roman" w:hAnsi="Times New Roman" w:cs="Times New Roman"/>
          <w:sz w:val="24"/>
          <w:szCs w:val="24"/>
        </w:rPr>
        <w:t>.g.</w:t>
      </w:r>
    </w:p>
    <w:p w:rsidR="00FF484E" w:rsidRPr="00DA389C" w:rsidRDefault="00FF484E" w:rsidP="00FF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389C">
        <w:rPr>
          <w:rFonts w:ascii="Times New Roman" w:hAnsi="Times New Roman" w:cs="Times New Roman"/>
          <w:sz w:val="24"/>
          <w:szCs w:val="24"/>
        </w:rPr>
        <w:t>Sukladno članku 39. zakona o proračunu, predstavničko tijelo donosi Proračun Općine Posedarje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A389C">
        <w:rPr>
          <w:rFonts w:ascii="Times New Roman" w:hAnsi="Times New Roman" w:cs="Times New Roman"/>
          <w:sz w:val="24"/>
          <w:szCs w:val="24"/>
        </w:rPr>
        <w:t>.g</w:t>
      </w:r>
      <w:r>
        <w:rPr>
          <w:rFonts w:ascii="Times New Roman" w:hAnsi="Times New Roman" w:cs="Times New Roman"/>
          <w:sz w:val="24"/>
          <w:szCs w:val="24"/>
        </w:rPr>
        <w:t>odinu</w:t>
      </w:r>
      <w:r w:rsidRPr="00DA389C">
        <w:rPr>
          <w:rFonts w:ascii="Times New Roman" w:hAnsi="Times New Roman" w:cs="Times New Roman"/>
          <w:sz w:val="24"/>
          <w:szCs w:val="24"/>
        </w:rPr>
        <w:t>. s projekcijama za 202</w:t>
      </w:r>
      <w:r w:rsidR="000420E4">
        <w:rPr>
          <w:rFonts w:ascii="Times New Roman" w:hAnsi="Times New Roman" w:cs="Times New Roman"/>
          <w:sz w:val="24"/>
          <w:szCs w:val="24"/>
        </w:rPr>
        <w:t>7</w:t>
      </w:r>
      <w:r w:rsidRPr="00DA389C">
        <w:rPr>
          <w:rFonts w:ascii="Times New Roman" w:hAnsi="Times New Roman" w:cs="Times New Roman"/>
          <w:sz w:val="24"/>
          <w:szCs w:val="24"/>
        </w:rPr>
        <w:t>. i 202</w:t>
      </w:r>
      <w:r w:rsidR="000420E4">
        <w:rPr>
          <w:rFonts w:ascii="Times New Roman" w:hAnsi="Times New Roman" w:cs="Times New Roman"/>
          <w:sz w:val="24"/>
          <w:szCs w:val="24"/>
        </w:rPr>
        <w:t>8</w:t>
      </w:r>
      <w:r w:rsidRPr="00DA389C">
        <w:rPr>
          <w:rFonts w:ascii="Times New Roman" w:hAnsi="Times New Roman" w:cs="Times New Roman"/>
          <w:sz w:val="24"/>
          <w:szCs w:val="24"/>
        </w:rPr>
        <w:t>.g</w:t>
      </w:r>
      <w:r>
        <w:rPr>
          <w:rFonts w:ascii="Times New Roman" w:hAnsi="Times New Roman" w:cs="Times New Roman"/>
          <w:sz w:val="24"/>
          <w:szCs w:val="24"/>
        </w:rPr>
        <w:t>odinu</w:t>
      </w:r>
      <w:r w:rsidRPr="00DA389C">
        <w:rPr>
          <w:rFonts w:ascii="Times New Roman" w:hAnsi="Times New Roman" w:cs="Times New Roman"/>
          <w:sz w:val="24"/>
          <w:szCs w:val="24"/>
        </w:rPr>
        <w:t>. najkasnije do 31.prosinca 202</w:t>
      </w:r>
      <w:r>
        <w:rPr>
          <w:rFonts w:ascii="Times New Roman" w:hAnsi="Times New Roman" w:cs="Times New Roman"/>
          <w:sz w:val="24"/>
          <w:szCs w:val="24"/>
        </w:rPr>
        <w:t>5.godine.</w:t>
      </w:r>
    </w:p>
    <w:p w:rsidR="00FF484E" w:rsidRPr="00DA389C" w:rsidRDefault="00FF484E" w:rsidP="00FF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484E" w:rsidRPr="00D15BBE" w:rsidRDefault="00FF484E" w:rsidP="00FF484E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5BBE" w:rsidRDefault="00D15BBE" w:rsidP="00FF484E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15BBE">
        <w:rPr>
          <w:rFonts w:ascii="Times New Roman" w:hAnsi="Times New Roman" w:cs="Times New Roman"/>
          <w:b/>
          <w:bCs/>
          <w:sz w:val="24"/>
          <w:szCs w:val="24"/>
        </w:rPr>
        <w:t>8. DOSTUPNOST MATERIJALA</w:t>
      </w:r>
    </w:p>
    <w:p w:rsidR="000420E4" w:rsidRDefault="000420E4" w:rsidP="00FF484E">
      <w:pPr>
        <w:tabs>
          <w:tab w:val="left" w:pos="0"/>
        </w:tabs>
        <w:rPr>
          <w:rFonts w:ascii="Times New Roman" w:hAnsi="Times New Roman" w:cs="Times New Roman"/>
          <w:bCs/>
          <w:sz w:val="24"/>
          <w:szCs w:val="24"/>
        </w:rPr>
      </w:pPr>
      <w:r w:rsidRPr="000420E4">
        <w:rPr>
          <w:rFonts w:ascii="Times New Roman" w:hAnsi="Times New Roman" w:cs="Times New Roman"/>
          <w:bCs/>
          <w:sz w:val="24"/>
          <w:szCs w:val="24"/>
        </w:rPr>
        <w:t>Upute za izradu plana proračuna za razdoblje od 202</w:t>
      </w:r>
      <w:r w:rsidR="00EF70AB">
        <w:rPr>
          <w:rFonts w:ascii="Times New Roman" w:hAnsi="Times New Roman" w:cs="Times New Roman"/>
          <w:bCs/>
          <w:sz w:val="24"/>
          <w:szCs w:val="24"/>
        </w:rPr>
        <w:t>6</w:t>
      </w:r>
      <w:r w:rsidRPr="000420E4">
        <w:rPr>
          <w:rFonts w:ascii="Times New Roman" w:hAnsi="Times New Roman" w:cs="Times New Roman"/>
          <w:bCs/>
          <w:sz w:val="24"/>
          <w:szCs w:val="24"/>
        </w:rPr>
        <w:t>.-202</w:t>
      </w:r>
      <w:r w:rsidR="00EF70AB">
        <w:rPr>
          <w:rFonts w:ascii="Times New Roman" w:hAnsi="Times New Roman" w:cs="Times New Roman"/>
          <w:bCs/>
          <w:sz w:val="24"/>
          <w:szCs w:val="24"/>
        </w:rPr>
        <w:t>8</w:t>
      </w:r>
      <w:r w:rsidRPr="000420E4">
        <w:rPr>
          <w:rFonts w:ascii="Times New Roman" w:hAnsi="Times New Roman" w:cs="Times New Roman"/>
          <w:bCs/>
          <w:sz w:val="24"/>
          <w:szCs w:val="24"/>
        </w:rPr>
        <w:t>.godine dostupne su na službenoj starnici Općine Posedarje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1" w:history="1">
        <w:r w:rsidRPr="0065131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www.opcina-posedarje.hr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420E4" w:rsidRPr="00D15BBE" w:rsidRDefault="000420E4" w:rsidP="008F35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524" w:rsidRPr="00D15BBE" w:rsidRDefault="008F3524" w:rsidP="00DF2A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659B" w:rsidRPr="00D15BBE" w:rsidRDefault="0019659B" w:rsidP="009760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2071" w:rsidRPr="00D15BBE" w:rsidRDefault="00A72071" w:rsidP="009760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4827" w:rsidRPr="00D15BBE" w:rsidRDefault="00434827" w:rsidP="009760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4827" w:rsidRPr="00D15BBE" w:rsidRDefault="00434827" w:rsidP="009760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4827" w:rsidRPr="00D15BBE" w:rsidRDefault="00434827" w:rsidP="0097609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BBE">
        <w:rPr>
          <w:rFonts w:ascii="Times New Roman" w:hAnsi="Times New Roman" w:cs="Times New Roman"/>
          <w:b/>
          <w:sz w:val="24"/>
          <w:szCs w:val="24"/>
        </w:rPr>
        <w:t>KLASA: 400-0</w:t>
      </w:r>
      <w:r w:rsidR="008A50B0" w:rsidRPr="00D15BBE">
        <w:rPr>
          <w:rFonts w:ascii="Times New Roman" w:hAnsi="Times New Roman" w:cs="Times New Roman"/>
          <w:b/>
          <w:sz w:val="24"/>
          <w:szCs w:val="24"/>
        </w:rPr>
        <w:t>8</w:t>
      </w:r>
      <w:r w:rsidRPr="00D15BBE">
        <w:rPr>
          <w:rFonts w:ascii="Times New Roman" w:hAnsi="Times New Roman" w:cs="Times New Roman"/>
          <w:b/>
          <w:sz w:val="24"/>
          <w:szCs w:val="24"/>
        </w:rPr>
        <w:t>/</w:t>
      </w:r>
      <w:r w:rsidR="00887A00" w:rsidRPr="00D15BBE">
        <w:rPr>
          <w:rFonts w:ascii="Times New Roman" w:hAnsi="Times New Roman" w:cs="Times New Roman"/>
          <w:b/>
          <w:sz w:val="24"/>
          <w:szCs w:val="24"/>
        </w:rPr>
        <w:t>2</w:t>
      </w:r>
      <w:r w:rsidR="00E96762">
        <w:rPr>
          <w:rFonts w:ascii="Times New Roman" w:hAnsi="Times New Roman" w:cs="Times New Roman"/>
          <w:b/>
          <w:sz w:val="24"/>
          <w:szCs w:val="24"/>
        </w:rPr>
        <w:t>5</w:t>
      </w:r>
      <w:r w:rsidR="00887A00" w:rsidRPr="00D15BBE">
        <w:rPr>
          <w:rFonts w:ascii="Times New Roman" w:hAnsi="Times New Roman" w:cs="Times New Roman"/>
          <w:b/>
          <w:sz w:val="24"/>
          <w:szCs w:val="24"/>
        </w:rPr>
        <w:t>-01/0</w:t>
      </w:r>
      <w:r w:rsidR="008A50B0" w:rsidRPr="00D15BBE">
        <w:rPr>
          <w:rFonts w:ascii="Times New Roman" w:hAnsi="Times New Roman" w:cs="Times New Roman"/>
          <w:b/>
          <w:sz w:val="24"/>
          <w:szCs w:val="24"/>
        </w:rPr>
        <w:t>1</w:t>
      </w:r>
    </w:p>
    <w:p w:rsidR="002C0567" w:rsidRPr="00D15BBE" w:rsidRDefault="00434827" w:rsidP="0097609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BBE">
        <w:rPr>
          <w:rFonts w:ascii="Times New Roman" w:hAnsi="Times New Roman" w:cs="Times New Roman"/>
          <w:b/>
          <w:sz w:val="24"/>
          <w:szCs w:val="24"/>
        </w:rPr>
        <w:t>URBROJ:2198</w:t>
      </w:r>
      <w:r w:rsidR="002C0567" w:rsidRPr="00D15BBE">
        <w:rPr>
          <w:rFonts w:ascii="Times New Roman" w:hAnsi="Times New Roman" w:cs="Times New Roman"/>
          <w:b/>
          <w:sz w:val="24"/>
          <w:szCs w:val="24"/>
        </w:rPr>
        <w:t>-7-</w:t>
      </w:r>
      <w:r w:rsidR="008A50B0" w:rsidRPr="00D15BBE">
        <w:rPr>
          <w:rFonts w:ascii="Times New Roman" w:hAnsi="Times New Roman" w:cs="Times New Roman"/>
          <w:b/>
          <w:sz w:val="24"/>
          <w:szCs w:val="24"/>
        </w:rPr>
        <w:t>2/1</w:t>
      </w:r>
      <w:r w:rsidR="003A1C1C" w:rsidRPr="00D15BBE">
        <w:rPr>
          <w:rFonts w:ascii="Times New Roman" w:hAnsi="Times New Roman" w:cs="Times New Roman"/>
          <w:b/>
          <w:sz w:val="24"/>
          <w:szCs w:val="24"/>
        </w:rPr>
        <w:t>-2</w:t>
      </w:r>
      <w:r w:rsidR="00E96762">
        <w:rPr>
          <w:rFonts w:ascii="Times New Roman" w:hAnsi="Times New Roman" w:cs="Times New Roman"/>
          <w:b/>
          <w:sz w:val="24"/>
          <w:szCs w:val="24"/>
        </w:rPr>
        <w:t>5</w:t>
      </w:r>
      <w:r w:rsidR="003A1C1C" w:rsidRPr="00D15BBE">
        <w:rPr>
          <w:rFonts w:ascii="Times New Roman" w:hAnsi="Times New Roman" w:cs="Times New Roman"/>
          <w:b/>
          <w:sz w:val="24"/>
          <w:szCs w:val="24"/>
        </w:rPr>
        <w:t>-01</w:t>
      </w:r>
    </w:p>
    <w:p w:rsidR="00A72071" w:rsidRPr="00D15BBE" w:rsidRDefault="00434827" w:rsidP="009760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15BBE">
        <w:rPr>
          <w:rFonts w:ascii="Times New Roman" w:hAnsi="Times New Roman" w:cs="Times New Roman"/>
          <w:b/>
          <w:sz w:val="24"/>
          <w:szCs w:val="24"/>
        </w:rPr>
        <w:t>Posed</w:t>
      </w:r>
      <w:r w:rsidR="00E30CE8" w:rsidRPr="00D15BBE">
        <w:rPr>
          <w:rFonts w:ascii="Times New Roman" w:hAnsi="Times New Roman" w:cs="Times New Roman"/>
          <w:b/>
          <w:sz w:val="24"/>
          <w:szCs w:val="24"/>
        </w:rPr>
        <w:t>a</w:t>
      </w:r>
      <w:r w:rsidRPr="00D15BBE">
        <w:rPr>
          <w:rFonts w:ascii="Times New Roman" w:hAnsi="Times New Roman" w:cs="Times New Roman"/>
          <w:b/>
          <w:sz w:val="24"/>
          <w:szCs w:val="24"/>
        </w:rPr>
        <w:t xml:space="preserve">rje, </w:t>
      </w:r>
      <w:r w:rsidR="00EF70AB">
        <w:rPr>
          <w:rFonts w:ascii="Times New Roman" w:hAnsi="Times New Roman" w:cs="Times New Roman"/>
          <w:b/>
          <w:sz w:val="24"/>
          <w:szCs w:val="24"/>
        </w:rPr>
        <w:t>22.</w:t>
      </w:r>
      <w:r w:rsidR="008A50B0" w:rsidRPr="00D15BBE">
        <w:rPr>
          <w:rFonts w:ascii="Times New Roman" w:hAnsi="Times New Roman" w:cs="Times New Roman"/>
          <w:b/>
          <w:sz w:val="24"/>
          <w:szCs w:val="24"/>
        </w:rPr>
        <w:t>listopada</w:t>
      </w:r>
      <w:r w:rsidR="003A1C1C" w:rsidRPr="00D15BB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96762">
        <w:rPr>
          <w:rFonts w:ascii="Times New Roman" w:hAnsi="Times New Roman" w:cs="Times New Roman"/>
          <w:b/>
          <w:sz w:val="24"/>
          <w:szCs w:val="24"/>
        </w:rPr>
        <w:t>5</w:t>
      </w:r>
      <w:r w:rsidR="003A1C1C" w:rsidRPr="00D15BBE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A72071" w:rsidRPr="00D15BBE" w:rsidRDefault="00A72071" w:rsidP="009760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2071" w:rsidRPr="00DA389C" w:rsidRDefault="00A72071" w:rsidP="009760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A72071" w:rsidRPr="00DA389C" w:rsidSect="00EB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A67FBD"/>
    <w:multiLevelType w:val="hybridMultilevel"/>
    <w:tmpl w:val="7604F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27FB"/>
    <w:multiLevelType w:val="hybridMultilevel"/>
    <w:tmpl w:val="F8601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652BC"/>
    <w:multiLevelType w:val="hybridMultilevel"/>
    <w:tmpl w:val="2280095A"/>
    <w:lvl w:ilvl="0" w:tplc="244AAD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D7F98"/>
    <w:multiLevelType w:val="hybridMultilevel"/>
    <w:tmpl w:val="6E96D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762FB"/>
    <w:multiLevelType w:val="hybridMultilevel"/>
    <w:tmpl w:val="1DB04C86"/>
    <w:lvl w:ilvl="0" w:tplc="B3CE83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972"/>
    <w:multiLevelType w:val="hybridMultilevel"/>
    <w:tmpl w:val="08BE9D1C"/>
    <w:lvl w:ilvl="0" w:tplc="0FAC7924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C05DA"/>
    <w:multiLevelType w:val="hybridMultilevel"/>
    <w:tmpl w:val="3ECA4650"/>
    <w:lvl w:ilvl="0" w:tplc="0FAC7924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785F"/>
    <w:multiLevelType w:val="hybridMultilevel"/>
    <w:tmpl w:val="365CB5F4"/>
    <w:lvl w:ilvl="0" w:tplc="244AAD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7019F"/>
    <w:multiLevelType w:val="hybridMultilevel"/>
    <w:tmpl w:val="079E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B1C92"/>
    <w:multiLevelType w:val="hybridMultilevel"/>
    <w:tmpl w:val="8E7A6596"/>
    <w:lvl w:ilvl="0" w:tplc="1AAA51C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E05DB3"/>
    <w:multiLevelType w:val="hybridMultilevel"/>
    <w:tmpl w:val="B3567DC6"/>
    <w:lvl w:ilvl="0" w:tplc="0FAC7924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32048"/>
    <w:multiLevelType w:val="hybridMultilevel"/>
    <w:tmpl w:val="718461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77A21"/>
    <w:multiLevelType w:val="multilevel"/>
    <w:tmpl w:val="0D2A76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1206FA"/>
    <w:multiLevelType w:val="hybridMultilevel"/>
    <w:tmpl w:val="CB68D456"/>
    <w:lvl w:ilvl="0" w:tplc="244AAD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A71E4"/>
    <w:multiLevelType w:val="hybridMultilevel"/>
    <w:tmpl w:val="FDE618FC"/>
    <w:lvl w:ilvl="0" w:tplc="0FAC7924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D517A"/>
    <w:multiLevelType w:val="hybridMultilevel"/>
    <w:tmpl w:val="438A97B4"/>
    <w:lvl w:ilvl="0" w:tplc="3C2E3F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E59D2"/>
    <w:multiLevelType w:val="hybridMultilevel"/>
    <w:tmpl w:val="3D52E186"/>
    <w:lvl w:ilvl="0" w:tplc="0FAC7924">
      <w:start w:val="1"/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2515D74"/>
    <w:multiLevelType w:val="hybridMultilevel"/>
    <w:tmpl w:val="DDD6EEB6"/>
    <w:lvl w:ilvl="0" w:tplc="0FAC7924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3777641"/>
    <w:multiLevelType w:val="hybridMultilevel"/>
    <w:tmpl w:val="74C4226A"/>
    <w:lvl w:ilvl="0" w:tplc="B3CE83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37C31"/>
    <w:multiLevelType w:val="hybridMultilevel"/>
    <w:tmpl w:val="CD5AB0D2"/>
    <w:lvl w:ilvl="0" w:tplc="B3CE83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946C7"/>
    <w:multiLevelType w:val="hybridMultilevel"/>
    <w:tmpl w:val="FCB09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4365B"/>
    <w:multiLevelType w:val="multilevel"/>
    <w:tmpl w:val="5C64E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CE4089"/>
    <w:multiLevelType w:val="hybridMultilevel"/>
    <w:tmpl w:val="F16C6CFA"/>
    <w:lvl w:ilvl="0" w:tplc="2080394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F28C1"/>
    <w:multiLevelType w:val="multilevel"/>
    <w:tmpl w:val="09880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10182D"/>
    <w:multiLevelType w:val="hybridMultilevel"/>
    <w:tmpl w:val="59F2F050"/>
    <w:lvl w:ilvl="0" w:tplc="0FAC7924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D0F2C"/>
    <w:multiLevelType w:val="hybridMultilevel"/>
    <w:tmpl w:val="1930CCAE"/>
    <w:lvl w:ilvl="0" w:tplc="1AAA51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00702"/>
    <w:multiLevelType w:val="hybridMultilevel"/>
    <w:tmpl w:val="0F28C230"/>
    <w:lvl w:ilvl="0" w:tplc="244AAD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421C9"/>
    <w:multiLevelType w:val="hybridMultilevel"/>
    <w:tmpl w:val="8C844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A2D47"/>
    <w:multiLevelType w:val="multilevel"/>
    <w:tmpl w:val="7C86B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87E52AD"/>
    <w:multiLevelType w:val="hybridMultilevel"/>
    <w:tmpl w:val="80E41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8032B"/>
    <w:multiLevelType w:val="multilevel"/>
    <w:tmpl w:val="5414F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E4E3CFB"/>
    <w:multiLevelType w:val="multilevel"/>
    <w:tmpl w:val="5C64E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1"/>
  </w:num>
  <w:num w:numId="2">
    <w:abstractNumId w:val="28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4"/>
  </w:num>
  <w:num w:numId="8">
    <w:abstractNumId w:val="12"/>
  </w:num>
  <w:num w:numId="9">
    <w:abstractNumId w:val="24"/>
  </w:num>
  <w:num w:numId="10">
    <w:abstractNumId w:val="7"/>
  </w:num>
  <w:num w:numId="11">
    <w:abstractNumId w:val="33"/>
  </w:num>
  <w:num w:numId="12">
    <w:abstractNumId w:val="15"/>
  </w:num>
  <w:num w:numId="13">
    <w:abstractNumId w:val="25"/>
  </w:num>
  <w:num w:numId="14">
    <w:abstractNumId w:val="30"/>
  </w:num>
  <w:num w:numId="15">
    <w:abstractNumId w:val="32"/>
  </w:num>
  <w:num w:numId="16">
    <w:abstractNumId w:val="26"/>
  </w:num>
  <w:num w:numId="17">
    <w:abstractNumId w:val="20"/>
  </w:num>
  <w:num w:numId="18">
    <w:abstractNumId w:val="8"/>
  </w:num>
  <w:num w:numId="19">
    <w:abstractNumId w:val="9"/>
  </w:num>
  <w:num w:numId="20">
    <w:abstractNumId w:val="13"/>
  </w:num>
  <w:num w:numId="21">
    <w:abstractNumId w:val="17"/>
  </w:num>
  <w:num w:numId="22">
    <w:abstractNumId w:val="27"/>
  </w:num>
  <w:num w:numId="23">
    <w:abstractNumId w:val="19"/>
  </w:num>
  <w:num w:numId="24">
    <w:abstractNumId w:val="3"/>
  </w:num>
  <w:num w:numId="25">
    <w:abstractNumId w:val="21"/>
  </w:num>
  <w:num w:numId="26">
    <w:abstractNumId w:val="22"/>
  </w:num>
  <w:num w:numId="27">
    <w:abstractNumId w:val="18"/>
  </w:num>
  <w:num w:numId="28">
    <w:abstractNumId w:val="5"/>
  </w:num>
  <w:num w:numId="29">
    <w:abstractNumId w:val="10"/>
  </w:num>
  <w:num w:numId="30">
    <w:abstractNumId w:val="29"/>
  </w:num>
  <w:num w:numId="31">
    <w:abstractNumId w:val="6"/>
  </w:num>
  <w:num w:numId="32">
    <w:abstractNumId w:val="16"/>
  </w:num>
  <w:num w:numId="33">
    <w:abstractNumId w:val="23"/>
  </w:num>
  <w:num w:numId="34">
    <w:abstractNumId w:val="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34"/>
    <w:rsid w:val="000119F9"/>
    <w:rsid w:val="00031636"/>
    <w:rsid w:val="00041F1A"/>
    <w:rsid w:val="000420E4"/>
    <w:rsid w:val="00052FF2"/>
    <w:rsid w:val="000542A7"/>
    <w:rsid w:val="00061A1A"/>
    <w:rsid w:val="00077132"/>
    <w:rsid w:val="00090E2F"/>
    <w:rsid w:val="000A7DF8"/>
    <w:rsid w:val="000B3A11"/>
    <w:rsid w:val="000B551B"/>
    <w:rsid w:val="000C5EA8"/>
    <w:rsid w:val="000D4B8A"/>
    <w:rsid w:val="000F30C5"/>
    <w:rsid w:val="00133C83"/>
    <w:rsid w:val="00144DA3"/>
    <w:rsid w:val="0019659B"/>
    <w:rsid w:val="001A0833"/>
    <w:rsid w:val="001A750C"/>
    <w:rsid w:val="001C0565"/>
    <w:rsid w:val="001D143A"/>
    <w:rsid w:val="001D2355"/>
    <w:rsid w:val="001F7D5A"/>
    <w:rsid w:val="00216749"/>
    <w:rsid w:val="00236F00"/>
    <w:rsid w:val="00242062"/>
    <w:rsid w:val="002465D4"/>
    <w:rsid w:val="00252DAE"/>
    <w:rsid w:val="00257F3F"/>
    <w:rsid w:val="0026399E"/>
    <w:rsid w:val="00281E1B"/>
    <w:rsid w:val="0028462F"/>
    <w:rsid w:val="00290627"/>
    <w:rsid w:val="002A76E8"/>
    <w:rsid w:val="002C0567"/>
    <w:rsid w:val="002C2FE7"/>
    <w:rsid w:val="002C4A0F"/>
    <w:rsid w:val="002D7988"/>
    <w:rsid w:val="002E3D40"/>
    <w:rsid w:val="002E6F95"/>
    <w:rsid w:val="002F4A4A"/>
    <w:rsid w:val="002F5762"/>
    <w:rsid w:val="002F61B0"/>
    <w:rsid w:val="00341F00"/>
    <w:rsid w:val="0036283C"/>
    <w:rsid w:val="00362956"/>
    <w:rsid w:val="003718D3"/>
    <w:rsid w:val="00373E35"/>
    <w:rsid w:val="0038274C"/>
    <w:rsid w:val="003A1C1C"/>
    <w:rsid w:val="003A347E"/>
    <w:rsid w:val="003A4DF6"/>
    <w:rsid w:val="003B1C20"/>
    <w:rsid w:val="003C463F"/>
    <w:rsid w:val="003F07C8"/>
    <w:rsid w:val="00401635"/>
    <w:rsid w:val="0041070C"/>
    <w:rsid w:val="00413DCA"/>
    <w:rsid w:val="00434827"/>
    <w:rsid w:val="00441210"/>
    <w:rsid w:val="00456D44"/>
    <w:rsid w:val="00465D4E"/>
    <w:rsid w:val="00482313"/>
    <w:rsid w:val="00490FDB"/>
    <w:rsid w:val="00511E6C"/>
    <w:rsid w:val="00513370"/>
    <w:rsid w:val="005316E3"/>
    <w:rsid w:val="00532616"/>
    <w:rsid w:val="00536A3A"/>
    <w:rsid w:val="00545F51"/>
    <w:rsid w:val="0054753A"/>
    <w:rsid w:val="00565B13"/>
    <w:rsid w:val="0057138B"/>
    <w:rsid w:val="005813AA"/>
    <w:rsid w:val="0059623F"/>
    <w:rsid w:val="005C5502"/>
    <w:rsid w:val="005C7C81"/>
    <w:rsid w:val="005D1F09"/>
    <w:rsid w:val="005D7E3B"/>
    <w:rsid w:val="005E5BF8"/>
    <w:rsid w:val="005F6724"/>
    <w:rsid w:val="00600F19"/>
    <w:rsid w:val="006011C7"/>
    <w:rsid w:val="00607DDB"/>
    <w:rsid w:val="00617050"/>
    <w:rsid w:val="00626995"/>
    <w:rsid w:val="00682A51"/>
    <w:rsid w:val="0068355B"/>
    <w:rsid w:val="006B014A"/>
    <w:rsid w:val="006D546C"/>
    <w:rsid w:val="006F3A5B"/>
    <w:rsid w:val="007078ED"/>
    <w:rsid w:val="0072110C"/>
    <w:rsid w:val="00753D39"/>
    <w:rsid w:val="00754D29"/>
    <w:rsid w:val="00791323"/>
    <w:rsid w:val="007948CF"/>
    <w:rsid w:val="007959C1"/>
    <w:rsid w:val="007A0101"/>
    <w:rsid w:val="007D341D"/>
    <w:rsid w:val="007F4671"/>
    <w:rsid w:val="007F5EB7"/>
    <w:rsid w:val="00817C59"/>
    <w:rsid w:val="008374EC"/>
    <w:rsid w:val="00850058"/>
    <w:rsid w:val="00882CD7"/>
    <w:rsid w:val="00887A00"/>
    <w:rsid w:val="00896BD8"/>
    <w:rsid w:val="008A0616"/>
    <w:rsid w:val="008A275F"/>
    <w:rsid w:val="008A50B0"/>
    <w:rsid w:val="008B72E9"/>
    <w:rsid w:val="008E3D55"/>
    <w:rsid w:val="008F3524"/>
    <w:rsid w:val="00900BB9"/>
    <w:rsid w:val="0091164D"/>
    <w:rsid w:val="00945632"/>
    <w:rsid w:val="00950A95"/>
    <w:rsid w:val="0096693A"/>
    <w:rsid w:val="00976090"/>
    <w:rsid w:val="009A722E"/>
    <w:rsid w:val="009A74D5"/>
    <w:rsid w:val="009E0C76"/>
    <w:rsid w:val="009E1B78"/>
    <w:rsid w:val="009F7BED"/>
    <w:rsid w:val="00A01EBE"/>
    <w:rsid w:val="00A137C5"/>
    <w:rsid w:val="00A553FD"/>
    <w:rsid w:val="00A72071"/>
    <w:rsid w:val="00A81147"/>
    <w:rsid w:val="00A90761"/>
    <w:rsid w:val="00A91395"/>
    <w:rsid w:val="00A96980"/>
    <w:rsid w:val="00AA46AD"/>
    <w:rsid w:val="00AB00B8"/>
    <w:rsid w:val="00AB0176"/>
    <w:rsid w:val="00AB11B0"/>
    <w:rsid w:val="00AC4191"/>
    <w:rsid w:val="00AD3E80"/>
    <w:rsid w:val="00AD649E"/>
    <w:rsid w:val="00AE4F79"/>
    <w:rsid w:val="00B20848"/>
    <w:rsid w:val="00B20AAC"/>
    <w:rsid w:val="00B3393F"/>
    <w:rsid w:val="00B35577"/>
    <w:rsid w:val="00B54230"/>
    <w:rsid w:val="00B571AD"/>
    <w:rsid w:val="00B708A1"/>
    <w:rsid w:val="00B84F23"/>
    <w:rsid w:val="00B93CE5"/>
    <w:rsid w:val="00BB3885"/>
    <w:rsid w:val="00BC3A5F"/>
    <w:rsid w:val="00BC5984"/>
    <w:rsid w:val="00BF6FEF"/>
    <w:rsid w:val="00C069E5"/>
    <w:rsid w:val="00C169D3"/>
    <w:rsid w:val="00C21389"/>
    <w:rsid w:val="00C313A8"/>
    <w:rsid w:val="00C31EE9"/>
    <w:rsid w:val="00C418A0"/>
    <w:rsid w:val="00C61DDB"/>
    <w:rsid w:val="00CA5158"/>
    <w:rsid w:val="00CB5052"/>
    <w:rsid w:val="00D0109E"/>
    <w:rsid w:val="00D04937"/>
    <w:rsid w:val="00D15BBE"/>
    <w:rsid w:val="00D26A34"/>
    <w:rsid w:val="00D56835"/>
    <w:rsid w:val="00D66C45"/>
    <w:rsid w:val="00D725F3"/>
    <w:rsid w:val="00D8352B"/>
    <w:rsid w:val="00D91135"/>
    <w:rsid w:val="00D950FA"/>
    <w:rsid w:val="00DA389C"/>
    <w:rsid w:val="00DF2A43"/>
    <w:rsid w:val="00E062A1"/>
    <w:rsid w:val="00E06789"/>
    <w:rsid w:val="00E07981"/>
    <w:rsid w:val="00E15CAF"/>
    <w:rsid w:val="00E30CE8"/>
    <w:rsid w:val="00E40B38"/>
    <w:rsid w:val="00E438FD"/>
    <w:rsid w:val="00E52785"/>
    <w:rsid w:val="00E776DC"/>
    <w:rsid w:val="00E96762"/>
    <w:rsid w:val="00EB47B1"/>
    <w:rsid w:val="00EC32C9"/>
    <w:rsid w:val="00EE57C6"/>
    <w:rsid w:val="00EF4F67"/>
    <w:rsid w:val="00EF70AB"/>
    <w:rsid w:val="00F0703A"/>
    <w:rsid w:val="00F23260"/>
    <w:rsid w:val="00F30134"/>
    <w:rsid w:val="00F329DD"/>
    <w:rsid w:val="00F35D46"/>
    <w:rsid w:val="00F72D6F"/>
    <w:rsid w:val="00F90077"/>
    <w:rsid w:val="00FA54EC"/>
    <w:rsid w:val="00FC40BE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2FA0F"/>
  <w15:docId w15:val="{07F5861D-7BE4-4895-BB53-073B3298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134"/>
    <w:pPr>
      <w:spacing w:after="0" w:line="240" w:lineRule="auto"/>
    </w:pPr>
  </w:style>
  <w:style w:type="character" w:styleId="Hyperlink">
    <w:name w:val="Hyperlink"/>
    <w:rsid w:val="00C313A8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C313A8"/>
    <w:pPr>
      <w:spacing w:after="0" w:line="240" w:lineRule="auto"/>
      <w:ind w:left="720"/>
      <w:contextualSpacing/>
      <w:jc w:val="right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9A74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6D546C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51B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rsid w:val="008F352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ni.proracun@mfin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okalni.proracun@mfin.h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kalni.proracuni@mfin.hr" TargetMode="External"/><Relationship Id="rId11" Type="http://schemas.openxmlformats.org/officeDocument/2006/relationships/hyperlink" Target="http://www.opcina-posedarj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pcina-posedarje.hr/images/Dokumenti/PROVEDBENI_PROGRAM_OPINE_POSEDARJE_2025-2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vizija.hr/hr/kontak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20A0-E7F5-4310-AFE6-F7A1909D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6815</Words>
  <Characters>38851</Characters>
  <Application>Microsoft Office Word</Application>
  <DocSecurity>0</DocSecurity>
  <Lines>323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inovakovic</cp:lastModifiedBy>
  <cp:revision>2</cp:revision>
  <cp:lastPrinted>2024-10-07T06:34:00Z</cp:lastPrinted>
  <dcterms:created xsi:type="dcterms:W3CDTF">2025-10-22T11:59:00Z</dcterms:created>
  <dcterms:modified xsi:type="dcterms:W3CDTF">2025-10-22T11:59:00Z</dcterms:modified>
</cp:coreProperties>
</file>