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>OBRAZLOŽENJ</w:t>
      </w:r>
      <w:r w:rsidR="00A30AF7">
        <w:rPr>
          <w:rFonts w:ascii="Times New Roman" w:hAnsi="Times New Roman" w:cs="Times New Roman"/>
          <w:b/>
          <w:sz w:val="24"/>
          <w:szCs w:val="24"/>
          <w:u w:val="single"/>
        </w:rPr>
        <w:t xml:space="preserve">E PRIJEDLOGA </w:t>
      </w:r>
      <w:bookmarkStart w:id="0" w:name="_GoBack"/>
      <w:bookmarkEnd w:id="0"/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IZVJEŠTAJA O IZVRŠENJU 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1D">
        <w:rPr>
          <w:rFonts w:ascii="Times New Roman" w:hAnsi="Times New Roman" w:cs="Times New Roman"/>
          <w:b/>
          <w:sz w:val="24"/>
          <w:szCs w:val="24"/>
          <w:u w:val="single"/>
        </w:rPr>
        <w:t>PLANA PRORAČUNA ZA RAZDOBLJE OD 01.01. DO 30.06.202</w:t>
      </w:r>
      <w:r w:rsidR="007C207C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Posedarje,</w:t>
      </w:r>
      <w:r w:rsidR="00AF586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</w:t>
      </w:r>
      <w:r w:rsidR="007C207C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kolovoz</w:t>
      </w:r>
      <w:r w:rsidR="00AF586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202</w:t>
      </w:r>
      <w:r w:rsidR="007C207C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5</w:t>
      </w:r>
    </w:p>
    <w:p w:rsidR="0035331D" w:rsidRPr="0035331D" w:rsidRDefault="00C15376" w:rsidP="00C15376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lastRenderedPageBreak/>
        <w:t>3.OBRAZLOŽENJE POLUGODIŠNJEG IZVJEŠTAJA O IZVRŠENJU PRORAČUNA OPĆINE POSEDDARJE</w:t>
      </w:r>
    </w:p>
    <w:p w:rsidR="00C15376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 temelju članka 88. Zakona o proračunu ("Narodne novine" br. 144/21) čelnik Jedinice lokalne (regionalne) samouprave je dužan prijedlog polugodišnjeg izvještaja o izvršenju plana proračuna za prvo polugodište tekuće godine podnijeti pretstavničkom tijelu do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30.rujna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proračunske godine.</w:t>
      </w: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polugodišnjeg izvještaja o izvršenju proračuna sastoji se od obrazloženja općeg dijela izvještaja o izvršenju proračuna.</w:t>
      </w:r>
    </w:p>
    <w:p w:rsidR="00C15376" w:rsidRPr="0035331D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</w:t>
      </w:r>
      <w:r w:rsidR="00DE4B0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loženje se daje na ostvarivanje prihoda i rashoda, primitaka i izdataka te prikaz ostvarenog viška odnosno manjka u izvještajnom razdoblju.</w:t>
      </w: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5331D" w:rsidRPr="0035331D">
        <w:rPr>
          <w:rFonts w:ascii="Times New Roman" w:hAnsi="Times New Roman" w:cs="Times New Roman"/>
          <w:sz w:val="24"/>
          <w:szCs w:val="24"/>
        </w:rPr>
        <w:t>. Prihodi</w:t>
      </w:r>
      <w:r>
        <w:rPr>
          <w:rFonts w:ascii="Times New Roman" w:hAnsi="Times New Roman" w:cs="Times New Roman"/>
          <w:sz w:val="24"/>
          <w:szCs w:val="24"/>
        </w:rPr>
        <w:t xml:space="preserve"> i primici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U razdoblju od 01.01. do 30.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06.202</w:t>
      </w:r>
      <w:r w:rsidR="00DE4B09">
        <w:rPr>
          <w:rFonts w:ascii="Times New Roman" w:hAnsi="Times New Roman" w:cs="Times New Roman"/>
          <w:sz w:val="24"/>
          <w:szCs w:val="24"/>
        </w:rPr>
        <w:t>5</w:t>
      </w:r>
      <w:r w:rsidRPr="0035331D">
        <w:rPr>
          <w:rFonts w:ascii="Times New Roman" w:hAnsi="Times New Roman" w:cs="Times New Roman"/>
          <w:sz w:val="24"/>
          <w:szCs w:val="24"/>
        </w:rPr>
        <w:t>.godine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ostvareni su prihodi iznosu od </w:t>
      </w:r>
      <w:r w:rsidR="00DE4B09">
        <w:rPr>
          <w:rFonts w:ascii="Times New Roman" w:hAnsi="Times New Roman" w:cs="Times New Roman"/>
          <w:sz w:val="24"/>
          <w:szCs w:val="24"/>
        </w:rPr>
        <w:t>1.764.218,45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DE4B09">
        <w:rPr>
          <w:rFonts w:ascii="Times New Roman" w:hAnsi="Times New Roman" w:cs="Times New Roman"/>
          <w:sz w:val="24"/>
          <w:szCs w:val="24"/>
        </w:rPr>
        <w:t>110,12</w:t>
      </w:r>
      <w:r w:rsidR="008A0ADE">
        <w:rPr>
          <w:rFonts w:ascii="Times New Roman" w:hAnsi="Times New Roman" w:cs="Times New Roman"/>
          <w:sz w:val="24"/>
          <w:szCs w:val="24"/>
        </w:rPr>
        <w:t xml:space="preserve">% </w:t>
      </w:r>
      <w:r w:rsidRPr="0035331D">
        <w:rPr>
          <w:rFonts w:ascii="Times New Roman" w:hAnsi="Times New Roman" w:cs="Times New Roman"/>
          <w:sz w:val="24"/>
          <w:szCs w:val="24"/>
        </w:rPr>
        <w:t xml:space="preserve">u odnosu na izvršenje u istom izvještajnom razdoblju prethodne godine i  </w:t>
      </w:r>
      <w:r w:rsidR="00DE4B09">
        <w:rPr>
          <w:rFonts w:ascii="Times New Roman" w:hAnsi="Times New Roman" w:cs="Times New Roman"/>
          <w:sz w:val="24"/>
          <w:szCs w:val="24"/>
        </w:rPr>
        <w:t>21,99</w:t>
      </w:r>
      <w:r w:rsidRPr="0035331D">
        <w:rPr>
          <w:rFonts w:ascii="Times New Roman" w:hAnsi="Times New Roman" w:cs="Times New Roman"/>
          <w:sz w:val="24"/>
          <w:szCs w:val="24"/>
        </w:rPr>
        <w:t>% od ukupnog plana 202</w:t>
      </w:r>
      <w:r w:rsidR="00DE4B09">
        <w:rPr>
          <w:rFonts w:ascii="Times New Roman" w:hAnsi="Times New Roman" w:cs="Times New Roman"/>
          <w:sz w:val="24"/>
          <w:szCs w:val="24"/>
        </w:rPr>
        <w:t>5</w:t>
      </w:r>
      <w:r w:rsidRPr="0035331D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793" w:rsidRPr="0035331D" w:rsidRDefault="00E10793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200" w:line="276" w:lineRule="auto"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Cs/>
          <w:sz w:val="24"/>
          <w:szCs w:val="24"/>
          <w:lang w:val="hr-HR" w:eastAsia="hr-HR"/>
        </w:rPr>
        <w:t xml:space="preserve">Tablica 1. Struktura planiranih i izvršenih prihoda/primitaka 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Proračuna Općine Posedarje za  202</w:t>
      </w:r>
      <w:r w:rsidR="00DE4B09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4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. godinu i 202</w:t>
      </w:r>
      <w:r w:rsidR="00DE4B09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5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56"/>
        <w:gridCol w:w="2520"/>
        <w:gridCol w:w="1476"/>
        <w:gridCol w:w="1600"/>
        <w:gridCol w:w="1476"/>
        <w:gridCol w:w="1283"/>
        <w:gridCol w:w="1283"/>
      </w:tblGrid>
      <w:tr w:rsidR="00DE4B09" w:rsidRPr="0035331D" w:rsidTr="008A0AD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DE4B0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DE4B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DE4B0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Plan 202</w:t>
            </w:r>
            <w:r w:rsidR="00DE4B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5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DE4B0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DE4B0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5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7(5/4)*100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796.188,53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2.796.065,00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710.000,99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25,39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Pomoći iz inoz.i ost.subjek.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308.519,62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1.581.261,00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299.772,71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7.660,53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74.536,00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15.351,16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admin. 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267.597,87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847.932,00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233.179,40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10.620,78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20.506,00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8.706,51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42,46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5.844,38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71,54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206.655,37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2.696.500,00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497.133,14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18,44</w:t>
            </w: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09" w:rsidRPr="0035331D" w:rsidTr="008A0AD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I PRIMICI: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DE4B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1.602.087,08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8.023.300,00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1.764.218,45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E4B09" w:rsidP="00E107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21,99</w:t>
            </w:r>
          </w:p>
        </w:tc>
      </w:tr>
    </w:tbl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poreza ostvareni su u iznosu od </w:t>
      </w:r>
      <w:r w:rsidR="004B4169">
        <w:rPr>
          <w:rFonts w:ascii="Times New Roman" w:hAnsi="Times New Roman" w:cs="Times New Roman"/>
          <w:sz w:val="24"/>
          <w:szCs w:val="24"/>
        </w:rPr>
        <w:t>710.000,99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4B4169">
        <w:rPr>
          <w:rFonts w:ascii="Times New Roman" w:hAnsi="Times New Roman" w:cs="Times New Roman"/>
          <w:sz w:val="24"/>
          <w:szCs w:val="24"/>
        </w:rPr>
        <w:t>89,29</w:t>
      </w:r>
      <w:r w:rsidRPr="0035331D">
        <w:rPr>
          <w:rFonts w:ascii="Times New Roman" w:hAnsi="Times New Roman" w:cs="Times New Roman"/>
          <w:sz w:val="24"/>
          <w:szCs w:val="24"/>
        </w:rPr>
        <w:t xml:space="preserve">% u odnosu na izvršenje prethodne godine i </w:t>
      </w:r>
      <w:r w:rsidR="004B4169">
        <w:rPr>
          <w:rFonts w:ascii="Times New Roman" w:hAnsi="Times New Roman" w:cs="Times New Roman"/>
          <w:sz w:val="24"/>
          <w:szCs w:val="24"/>
        </w:rPr>
        <w:t>25,39</w:t>
      </w:r>
      <w:r w:rsidRPr="0035331D">
        <w:rPr>
          <w:rFonts w:ascii="Times New Roman" w:hAnsi="Times New Roman" w:cs="Times New Roman"/>
          <w:sz w:val="24"/>
          <w:szCs w:val="24"/>
        </w:rPr>
        <w:t>% u odnosu na plan a čine ih:</w:t>
      </w:r>
    </w:p>
    <w:p w:rsidR="0035331D" w:rsidRP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i prirez na dohodak u iznosu od </w:t>
      </w:r>
      <w:r w:rsidR="004B4169">
        <w:rPr>
          <w:rFonts w:ascii="Times New Roman" w:hAnsi="Times New Roman" w:cs="Times New Roman"/>
          <w:sz w:val="24"/>
          <w:szCs w:val="24"/>
        </w:rPr>
        <w:t>518.905,83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na imovinu u iznosu od </w:t>
      </w:r>
      <w:r w:rsidR="004B4169">
        <w:rPr>
          <w:rFonts w:ascii="Times New Roman" w:hAnsi="Times New Roman" w:cs="Times New Roman"/>
          <w:sz w:val="24"/>
          <w:szCs w:val="24"/>
        </w:rPr>
        <w:t>187.183,23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Default="0035331D" w:rsidP="003533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porez na robu i usluge u iznosu od </w:t>
      </w:r>
      <w:r w:rsidR="004B4169">
        <w:rPr>
          <w:rFonts w:ascii="Times New Roman" w:hAnsi="Times New Roman" w:cs="Times New Roman"/>
          <w:sz w:val="24"/>
          <w:szCs w:val="24"/>
        </w:rPr>
        <w:t>3.911,93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Default="004B4169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Izvršenje prihoda od poreza na dohodak ostvareni su u većem opsegu nego u istom izvještajnom razdoblju 2024.g. </w:t>
      </w:r>
    </w:p>
    <w:p w:rsidR="00286936" w:rsidRDefault="002869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imovinu ostvaren je u iznosu od 187.183,23€ i index izvršenja u odnosu na 2024.godinu je 51,72°%. U 2024.godinu ostvareni su prihodi u iznosu od 161.299,01€ a odnosi se na prihode od poreza na kuće za odmor. U 2025.godini isti porez je zamjenjen s porezom na nekretnine i prihodi s navedene osnove očekuju se u narednom razdoblju.</w:t>
      </w:r>
    </w:p>
    <w:p w:rsidR="00286936" w:rsidRDefault="002869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imovinu ostvaren je u iznosu od 177.973,83€ a odnosi se na porez na promet nekretninama.</w:t>
      </w:r>
    </w:p>
    <w:p w:rsidR="00286936" w:rsidRDefault="002869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169" w:rsidRPr="0035331D" w:rsidRDefault="004B4169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</w:p>
    <w:p w:rsidR="00286936" w:rsidRDefault="0028693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936" w:rsidRPr="00286936" w:rsidRDefault="00286936" w:rsidP="00354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36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Pr="00286936">
        <w:rPr>
          <w:rFonts w:ascii="Times New Roman" w:hAnsi="Times New Roman" w:cs="Times New Roman"/>
          <w:sz w:val="24"/>
          <w:szCs w:val="24"/>
        </w:rPr>
        <w:t>2024.godini  ostvareni</w:t>
      </w:r>
      <w:proofErr w:type="gramEnd"/>
      <w:r w:rsidRPr="00286936">
        <w:rPr>
          <w:rFonts w:ascii="Times New Roman" w:hAnsi="Times New Roman" w:cs="Times New Roman"/>
          <w:sz w:val="24"/>
          <w:szCs w:val="24"/>
        </w:rPr>
        <w:t xml:space="preserve"> su prihodi od pomoći iz državnog proračuna za fiskalno izravnavanje u iznosu od 234.437,67€. U 2025.godini</w:t>
      </w:r>
      <w:r>
        <w:rPr>
          <w:rFonts w:ascii="Times New Roman" w:hAnsi="Times New Roman" w:cs="Times New Roman"/>
          <w:sz w:val="24"/>
          <w:szCs w:val="24"/>
        </w:rPr>
        <w:t xml:space="preserve"> prihodi s te osnove ostvareni su u iznosu od 240.385,32 koji su na temelju </w:t>
      </w:r>
      <w:r w:rsidR="00354606">
        <w:rPr>
          <w:rFonts w:ascii="Times New Roman" w:hAnsi="Times New Roman" w:cs="Times New Roman"/>
          <w:sz w:val="24"/>
          <w:szCs w:val="24"/>
        </w:rPr>
        <w:t xml:space="preserve">uputa </w:t>
      </w:r>
      <w:proofErr w:type="gramStart"/>
      <w:r w:rsidR="00354606">
        <w:rPr>
          <w:rFonts w:ascii="Times New Roman" w:hAnsi="Times New Roman" w:cs="Times New Roman"/>
          <w:sz w:val="24"/>
          <w:szCs w:val="24"/>
        </w:rPr>
        <w:t>evidentiranju  na</w:t>
      </w:r>
      <w:proofErr w:type="gramEnd"/>
      <w:r w:rsidR="00354606">
        <w:rPr>
          <w:rFonts w:ascii="Times New Roman" w:hAnsi="Times New Roman" w:cs="Times New Roman"/>
          <w:sz w:val="24"/>
          <w:szCs w:val="24"/>
        </w:rPr>
        <w:t xml:space="preserve"> podskupini 635 Pomoći izravnavanja za decentralizirane funkcije i fiskalno izravnavanje, odnosno na osnovnom računu 6353 Pomoći za fisklano izravnavanje.</w:t>
      </w:r>
    </w:p>
    <w:p w:rsidR="00085836" w:rsidRDefault="00354606" w:rsidP="0035460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4606">
        <w:rPr>
          <w:rFonts w:ascii="Times New Roman" w:hAnsi="Times New Roman" w:cs="Times New Roman"/>
          <w:sz w:val="24"/>
          <w:szCs w:val="24"/>
        </w:rPr>
        <w:t>T</w:t>
      </w:r>
      <w:r w:rsidR="00085836" w:rsidRPr="0035460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ekuće pomoći proračunskim korisnicima iz proračuna koji im nije nadležan</w:t>
      </w: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ostvarene su u iznosu od 431,33€ a odnse se na pomoći Dječjem vrtiću Cvrčak iz proračuna grada Benkovca za sufinanciranje boravka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djece  u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vrtiću s njihovog područja.</w:t>
      </w:r>
      <w:r w:rsidR="00085836" w:rsidRPr="0035460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 </w:t>
      </w:r>
    </w:p>
    <w:p w:rsidR="00354606" w:rsidRDefault="00354606" w:rsidP="0035460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4606" w:rsidRDefault="00354606" w:rsidP="00354606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Pomoći temeljem prijenosa EU sredstava ostvarene su u iznosu od 58.956,06€ a odnose se na pomoći za financiranje projekta Zaželi-zlatne ruke.</w:t>
      </w:r>
    </w:p>
    <w:p w:rsidR="00354606" w:rsidRDefault="00354606" w:rsidP="0035460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</w:p>
    <w:p w:rsidR="0035331D" w:rsidRPr="0035331D" w:rsidRDefault="0035331D" w:rsidP="0035460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Prihodi od imovine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</w:p>
    <w:p w:rsidR="0035331D" w:rsidRPr="0035331D" w:rsidRDefault="0035331D" w:rsidP="0035331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prihodi od financijske imovine ostvareni su u iznosu od </w:t>
      </w:r>
      <w:r w:rsidR="0035460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189,73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€. Te prihode čine kamate na depozite i kamate iz poslovnih odnosa</w:t>
      </w:r>
    </w:p>
    <w:p w:rsidR="0035331D" w:rsidRPr="0035331D" w:rsidRDefault="0035331D" w:rsidP="0035331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 xml:space="preserve">prihodi od nefinancijske imovine u iznosu od </w:t>
      </w:r>
      <w:r w:rsidR="00354606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15.164,43</w:t>
      </w:r>
      <w:r w:rsidRPr="0035331D"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  <w:t>€. Prihode čine prihodi od zakupa i iznajmljivanja imvine, prihodi od naknade za legalizaciju nezakonito izgrađenih građevina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 w:eastAsia="hr-HR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b/>
          <w:sz w:val="24"/>
          <w:szCs w:val="24"/>
          <w:lang w:val="hr-HR" w:eastAsia="hr-HR"/>
        </w:rPr>
        <w:t>Prihodi od upravnih i administrativnih pristojbi i pristojbi po posebnim propisima i naknada</w:t>
      </w:r>
    </w:p>
    <w:p w:rsidR="0035331D" w:rsidRPr="0035331D" w:rsidRDefault="0035331D" w:rsidP="0035331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upravne i administrativne pristojbe ostvarene su u iznosu od </w:t>
      </w:r>
      <w:r w:rsidR="00354606">
        <w:rPr>
          <w:rFonts w:ascii="Times New Roman" w:hAnsi="Times New Roman" w:cs="Times New Roman"/>
          <w:sz w:val="24"/>
          <w:szCs w:val="24"/>
        </w:rPr>
        <w:t>31.970,96</w:t>
      </w:r>
      <w:r w:rsidRPr="0035331D">
        <w:rPr>
          <w:rFonts w:ascii="Times New Roman" w:hAnsi="Times New Roman" w:cs="Times New Roman"/>
          <w:sz w:val="24"/>
          <w:szCs w:val="24"/>
        </w:rPr>
        <w:t>€. Prihode čine prihodi</w:t>
      </w:r>
      <w:r w:rsidR="00260E88">
        <w:rPr>
          <w:rFonts w:ascii="Times New Roman" w:hAnsi="Times New Roman" w:cs="Times New Roman"/>
          <w:sz w:val="24"/>
          <w:szCs w:val="24"/>
        </w:rPr>
        <w:t xml:space="preserve"> </w:t>
      </w:r>
      <w:r w:rsidRPr="0035331D">
        <w:rPr>
          <w:rFonts w:ascii="Times New Roman" w:hAnsi="Times New Roman" w:cs="Times New Roman"/>
          <w:sz w:val="24"/>
          <w:szCs w:val="24"/>
        </w:rPr>
        <w:t>od prodaje državnih biljega, prihodi od turističke pristojbe, nakanda za služnost puta od Hrvatskog telekoma.</w:t>
      </w: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lastRenderedPageBreak/>
        <w:t xml:space="preserve">prihodi po posebnim propisima ostvareni u iznosu od </w:t>
      </w:r>
      <w:r w:rsidR="00E10793">
        <w:rPr>
          <w:rFonts w:ascii="Times New Roman" w:hAnsi="Times New Roman" w:cs="Times New Roman"/>
          <w:sz w:val="24"/>
          <w:szCs w:val="24"/>
        </w:rPr>
        <w:t>32.</w:t>
      </w:r>
      <w:r w:rsidR="00354606">
        <w:rPr>
          <w:rFonts w:ascii="Times New Roman" w:hAnsi="Times New Roman" w:cs="Times New Roman"/>
          <w:sz w:val="24"/>
          <w:szCs w:val="24"/>
        </w:rPr>
        <w:t>355,21</w:t>
      </w:r>
      <w:r w:rsidRPr="0035331D">
        <w:rPr>
          <w:rFonts w:ascii="Times New Roman" w:hAnsi="Times New Roman" w:cs="Times New Roman"/>
          <w:sz w:val="24"/>
          <w:szCs w:val="24"/>
        </w:rPr>
        <w:t>€. Prihode čine prihodi od vodnog doprinosa, ostali nespomenuti prihodi (prihodi od sufinanciranja potroška vode s hidranata i sufinanciranje roditelja za boravak djece u dječjem vrtiću)</w:t>
      </w:r>
    </w:p>
    <w:p w:rsidR="0035331D" w:rsidRPr="0035331D" w:rsidRDefault="0035331D" w:rsidP="0035331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komunalni doprinos i komunalna naknada ostvareni su u iznosu od </w:t>
      </w:r>
      <w:r w:rsidR="00354606">
        <w:rPr>
          <w:rFonts w:ascii="Times New Roman" w:hAnsi="Times New Roman" w:cs="Times New Roman"/>
          <w:sz w:val="24"/>
          <w:szCs w:val="24"/>
        </w:rPr>
        <w:t>168.853,43</w:t>
      </w:r>
      <w:r w:rsidR="00085836">
        <w:rPr>
          <w:rFonts w:ascii="Times New Roman" w:hAnsi="Times New Roman" w:cs="Times New Roman"/>
          <w:sz w:val="24"/>
          <w:szCs w:val="24"/>
        </w:rPr>
        <w:t xml:space="preserve">€ i to komunalni doprinos u iznosu od </w:t>
      </w:r>
      <w:r w:rsidR="00354606">
        <w:rPr>
          <w:rFonts w:ascii="Times New Roman" w:hAnsi="Times New Roman" w:cs="Times New Roman"/>
          <w:sz w:val="24"/>
          <w:szCs w:val="24"/>
        </w:rPr>
        <w:t>35.382,86</w:t>
      </w:r>
      <w:r w:rsidR="00085836">
        <w:rPr>
          <w:rFonts w:ascii="Times New Roman" w:hAnsi="Times New Roman" w:cs="Times New Roman"/>
          <w:sz w:val="24"/>
          <w:szCs w:val="24"/>
        </w:rPr>
        <w:t xml:space="preserve">€ a komunalna naknada u iznosu od </w:t>
      </w:r>
      <w:r w:rsidR="00354606">
        <w:rPr>
          <w:rFonts w:ascii="Times New Roman" w:hAnsi="Times New Roman" w:cs="Times New Roman"/>
          <w:sz w:val="24"/>
          <w:szCs w:val="24"/>
        </w:rPr>
        <w:t>133.470,57</w:t>
      </w:r>
      <w:r w:rsidR="00085836">
        <w:rPr>
          <w:rFonts w:ascii="Times New Roman" w:hAnsi="Times New Roman" w:cs="Times New Roman"/>
          <w:sz w:val="24"/>
          <w:szCs w:val="24"/>
        </w:rPr>
        <w:t>€.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prodaje proizvoda i robe te pruženih usluga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ostvareni su u iznosu od </w:t>
      </w:r>
      <w:r w:rsidR="00354606">
        <w:rPr>
          <w:rFonts w:ascii="Times New Roman" w:hAnsi="Times New Roman" w:cs="Times New Roman"/>
          <w:sz w:val="24"/>
          <w:szCs w:val="24"/>
        </w:rPr>
        <w:t>8.706,51</w:t>
      </w:r>
      <w:r w:rsidRPr="0035331D">
        <w:rPr>
          <w:rFonts w:ascii="Times New Roman" w:hAnsi="Times New Roman" w:cs="Times New Roman"/>
          <w:sz w:val="24"/>
          <w:szCs w:val="24"/>
        </w:rPr>
        <w:t>€ a odnose se na prihod od Hrvatskih voda za 10% naplaćenie slivne vodne naknade i uplaćenih materijalnih troškova.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836" w:rsidRDefault="0008583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836" w:rsidRDefault="0008583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Kazne, upravne mjere i ostali prihodi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prihodi ostvareni u iznosu od </w:t>
      </w:r>
      <w:r w:rsidR="00D21317">
        <w:rPr>
          <w:rFonts w:ascii="Times New Roman" w:hAnsi="Times New Roman" w:cs="Times New Roman"/>
          <w:sz w:val="24"/>
          <w:szCs w:val="24"/>
        </w:rPr>
        <w:t>71,54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317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D18E4">
        <w:rPr>
          <w:rFonts w:ascii="Times New Roman" w:hAnsi="Times New Roman" w:cs="Times New Roman"/>
          <w:sz w:val="24"/>
          <w:szCs w:val="24"/>
        </w:rPr>
        <w:t xml:space="preserve">prodaje </w:t>
      </w:r>
      <w:r w:rsidRPr="0035331D">
        <w:rPr>
          <w:rFonts w:ascii="Times New Roman" w:hAnsi="Times New Roman" w:cs="Times New Roman"/>
          <w:sz w:val="24"/>
          <w:szCs w:val="24"/>
        </w:rPr>
        <w:t>nefinancijske i</w:t>
      </w:r>
      <w:r w:rsidR="00CB30B4">
        <w:rPr>
          <w:rFonts w:ascii="Times New Roman" w:hAnsi="Times New Roman" w:cs="Times New Roman"/>
          <w:sz w:val="24"/>
          <w:szCs w:val="24"/>
        </w:rPr>
        <w:t>movine ostvareni su u iznosu od</w:t>
      </w: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  <w:r w:rsidR="00D21317">
        <w:rPr>
          <w:rFonts w:ascii="Times New Roman" w:hAnsi="Times New Roman" w:cs="Times New Roman"/>
          <w:sz w:val="24"/>
          <w:szCs w:val="24"/>
        </w:rPr>
        <w:t>497.133,14€</w:t>
      </w:r>
      <w:r w:rsidR="00CB30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317" w:rsidRDefault="00D21317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Strukturu tih prihoda čine prihodi od prodaje zemlje u Posedarju u dijelu Donja draga/Ivandići u iznosu od 391.977,02€ i prihodi od prodaje imovine u Poslovnoj zoni Posedarje/Slivnica u iznosu od 105.156,12€.</w:t>
      </w:r>
    </w:p>
    <w:p w:rsidR="00CB30B4" w:rsidRDefault="00D21317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1D" w:rsidRPr="0035331D" w:rsidRDefault="00CB30B4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376">
        <w:rPr>
          <w:rFonts w:ascii="Times New Roman" w:hAnsi="Times New Roman" w:cs="Times New Roman"/>
          <w:b/>
          <w:sz w:val="24"/>
          <w:szCs w:val="24"/>
        </w:rPr>
        <w:t>3.2. Rashodi i izdaci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200" w:line="276" w:lineRule="auto"/>
        <w:ind w:left="-284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</w:pP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Rashodi i izdaci  za  202</w:t>
      </w:r>
      <w:r w:rsidR="00D21317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4</w:t>
      </w: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. i  202</w:t>
      </w:r>
      <w:r w:rsidR="00D21317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5</w:t>
      </w:r>
      <w:r w:rsidRPr="0035331D">
        <w:rPr>
          <w:rFonts w:ascii="Times New Roman" w:eastAsiaTheme="minorEastAsia" w:hAnsi="Times New Roman" w:cs="Times New Roman"/>
          <w:i/>
          <w:sz w:val="24"/>
          <w:szCs w:val="24"/>
          <w:lang w:val="hr-HR" w:eastAsia="hr-HR"/>
        </w:rPr>
        <w:t>. godinu – ekonomska klasifikacija</w:t>
      </w:r>
    </w:p>
    <w:tbl>
      <w:tblPr>
        <w:tblW w:w="10078" w:type="dxa"/>
        <w:tblInd w:w="-193" w:type="dxa"/>
        <w:tblLook w:val="04A0" w:firstRow="1" w:lastRow="0" w:firstColumn="1" w:lastColumn="0" w:noHBand="0" w:noVBand="1"/>
      </w:tblPr>
      <w:tblGrid>
        <w:gridCol w:w="456"/>
        <w:gridCol w:w="2520"/>
        <w:gridCol w:w="1476"/>
        <w:gridCol w:w="1600"/>
        <w:gridCol w:w="1476"/>
        <w:gridCol w:w="1283"/>
        <w:gridCol w:w="1283"/>
      </w:tblGrid>
      <w:tr w:rsidR="0035331D" w:rsidRPr="0035331D" w:rsidTr="008A0ADE">
        <w:trPr>
          <w:trHeight w:val="450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Vrsta 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085836" w:rsidP="00D2131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D2131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4</w:t>
            </w:r>
            <w:r w:rsidR="0035331D"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D2131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Plan 202</w:t>
            </w:r>
            <w:r w:rsidR="00D2131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5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D2131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Izvršenje 202</w:t>
            </w:r>
            <w:r w:rsidR="00D2131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5</w:t>
            </w: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hr-HR" w:eastAsia="hr-HR"/>
              </w:rPr>
              <w:t>Indeks ostvar.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6(5/3)*100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7(5/4)*100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298.161,02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1.070.345,00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546.480,58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183,28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51,06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829.843,89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2.508.201,00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1.090.125,80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131,37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43,46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3.011,22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6.550,00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3.122,89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103,71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47,68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sz w:val="24"/>
                <w:szCs w:val="24"/>
              </w:rPr>
              <w:t>Pomoći dane u inozemstvo i unutar opće države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33.060,02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221.252,00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22.378,81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67,69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7C070A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10,11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DA2B61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43.910,41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136.491,00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62.183,95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141,62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45,56</w:t>
            </w:r>
          </w:p>
        </w:tc>
      </w:tr>
      <w:tr w:rsidR="0035331D" w:rsidRPr="0035331D" w:rsidTr="008A0ADE">
        <w:trPr>
          <w:trHeight w:val="59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lastRenderedPageBreak/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Ostali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202.776,82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740.361,00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428.510,54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211,32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57,88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nabavu neproizvedene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47.375,00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1.314.300,00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60.605,73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127,93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4,61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 w:rsidRPr="0035331D"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Rashodi za nabavu proizvedene dug.imovine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294.991,19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2.172.100,00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371.858,36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126,06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D21317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  <w:t>17,12</w:t>
            </w:r>
          </w:p>
        </w:tc>
      </w:tr>
      <w:tr w:rsidR="0035331D" w:rsidRPr="0035331D" w:rsidTr="008A0ADE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35331D" w:rsidRDefault="0035331D" w:rsidP="003533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31D">
              <w:rPr>
                <w:rFonts w:ascii="Times New Roman" w:hAnsi="Times New Roman" w:cs="Times New Roman"/>
                <w:b/>
                <w:sz w:val="24"/>
                <w:szCs w:val="24"/>
              </w:rPr>
              <w:t>RASHODI I IZDACI:</w:t>
            </w:r>
          </w:p>
          <w:p w:rsidR="0035331D" w:rsidRPr="0035331D" w:rsidRDefault="0035331D" w:rsidP="0035331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DA2B61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1.753.129,57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DA2B61" w:rsidP="0035331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8.169.900,00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DA2B61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2.585.266,66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DA2B61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147,47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31D" w:rsidRPr="00ED18E4" w:rsidRDefault="00DA2B61" w:rsidP="0035331D">
            <w:pPr>
              <w:spacing w:after="200" w:line="276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hr-HR" w:eastAsia="hr-HR"/>
              </w:rPr>
              <w:t>31,64</w:t>
            </w:r>
          </w:p>
        </w:tc>
      </w:tr>
    </w:tbl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I IZDACI: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ab/>
      </w:r>
      <w:r w:rsidRPr="0035331D">
        <w:rPr>
          <w:rFonts w:ascii="Times New Roman" w:hAnsi="Times New Roman" w:cs="Times New Roman"/>
          <w:b/>
          <w:sz w:val="24"/>
          <w:szCs w:val="24"/>
        </w:rPr>
        <w:tab/>
      </w:r>
      <w:r w:rsidRPr="0035331D">
        <w:rPr>
          <w:rFonts w:ascii="Times New Roman" w:hAnsi="Times New Roman" w:cs="Times New Roman"/>
          <w:b/>
          <w:sz w:val="24"/>
          <w:szCs w:val="24"/>
        </w:rPr>
        <w:tab/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U izvještajnom razdoblju od 01.01. do 30.06.202</w:t>
      </w:r>
      <w:r w:rsidR="00DA2B61">
        <w:rPr>
          <w:rFonts w:ascii="Times New Roman" w:hAnsi="Times New Roman" w:cs="Times New Roman"/>
          <w:sz w:val="24"/>
          <w:szCs w:val="24"/>
        </w:rPr>
        <w:t>5</w:t>
      </w:r>
      <w:r w:rsidRPr="0035331D">
        <w:rPr>
          <w:rFonts w:ascii="Times New Roman" w:hAnsi="Times New Roman" w:cs="Times New Roman"/>
          <w:sz w:val="24"/>
          <w:szCs w:val="24"/>
        </w:rPr>
        <w:t xml:space="preserve">.g. ostvareni su rashodi u iznosu od </w:t>
      </w:r>
      <w:r w:rsidR="00DA2B61">
        <w:rPr>
          <w:rFonts w:ascii="Times New Roman" w:hAnsi="Times New Roman" w:cs="Times New Roman"/>
          <w:sz w:val="24"/>
          <w:szCs w:val="24"/>
        </w:rPr>
        <w:t>2.585.266,66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DA2B61">
        <w:rPr>
          <w:rFonts w:ascii="Times New Roman" w:hAnsi="Times New Roman" w:cs="Times New Roman"/>
          <w:sz w:val="24"/>
          <w:szCs w:val="24"/>
        </w:rPr>
        <w:t>147,47</w:t>
      </w:r>
      <w:r w:rsidRPr="0035331D">
        <w:rPr>
          <w:rFonts w:ascii="Times New Roman" w:hAnsi="Times New Roman" w:cs="Times New Roman"/>
          <w:sz w:val="24"/>
          <w:szCs w:val="24"/>
        </w:rPr>
        <w:t xml:space="preserve">% od istog izvještajnog razdoblja prošle godine i </w:t>
      </w:r>
      <w:r w:rsidR="00ED18E4">
        <w:rPr>
          <w:rFonts w:ascii="Times New Roman" w:hAnsi="Times New Roman" w:cs="Times New Roman"/>
          <w:sz w:val="24"/>
          <w:szCs w:val="24"/>
        </w:rPr>
        <w:t>1</w:t>
      </w:r>
      <w:r w:rsidR="00DA2B61">
        <w:rPr>
          <w:rFonts w:ascii="Times New Roman" w:hAnsi="Times New Roman" w:cs="Times New Roman"/>
          <w:sz w:val="24"/>
          <w:szCs w:val="24"/>
        </w:rPr>
        <w:t>31,64</w:t>
      </w:r>
      <w:r w:rsidRPr="0035331D">
        <w:rPr>
          <w:rFonts w:ascii="Times New Roman" w:hAnsi="Times New Roman" w:cs="Times New Roman"/>
          <w:sz w:val="24"/>
          <w:szCs w:val="24"/>
        </w:rPr>
        <w:t>% od planiranih.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poslovanja ostvareni su u iznosu od </w:t>
      </w:r>
      <w:r w:rsidR="00DA2B61">
        <w:rPr>
          <w:rFonts w:ascii="Times New Roman" w:hAnsi="Times New Roman" w:cs="Times New Roman"/>
          <w:sz w:val="24"/>
          <w:szCs w:val="24"/>
        </w:rPr>
        <w:t>2.152.802,57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a rashodi za nabavu nefinancijske imovine ostvareni su u iznosu od </w:t>
      </w:r>
      <w:r w:rsidR="00DA2B61">
        <w:rPr>
          <w:rFonts w:ascii="Times New Roman" w:hAnsi="Times New Roman" w:cs="Times New Roman"/>
          <w:sz w:val="24"/>
          <w:szCs w:val="24"/>
        </w:rPr>
        <w:t>432.464,09€</w:t>
      </w:r>
      <w:r w:rsidRPr="0035331D">
        <w:rPr>
          <w:rFonts w:ascii="Times New Roman" w:hAnsi="Times New Roman" w:cs="Times New Roman"/>
          <w:sz w:val="24"/>
          <w:szCs w:val="24"/>
        </w:rPr>
        <w:t>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E35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za zaposlene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A2B61">
        <w:rPr>
          <w:rFonts w:ascii="Times New Roman" w:hAnsi="Times New Roman" w:cs="Times New Roman"/>
          <w:sz w:val="24"/>
          <w:szCs w:val="24"/>
        </w:rPr>
        <w:t xml:space="preserve">546.480,58€ i ostvareni su u znatno većeme iznosu nego u istom izvještajnom razdoblju prošle godine. Razlog povećanja su jer izvještajno razdoblje čine rashodi za zaposlene bruto plaća od šestog mjeseca 2025.godine tako da izvještajno </w:t>
      </w:r>
      <w:proofErr w:type="gramStart"/>
      <w:r w:rsidR="00DA2B61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  <w:r w:rsidR="00DA2B61">
        <w:rPr>
          <w:rFonts w:ascii="Times New Roman" w:hAnsi="Times New Roman" w:cs="Times New Roman"/>
          <w:sz w:val="24"/>
          <w:szCs w:val="24"/>
        </w:rPr>
        <w:t>čine</w:t>
      </w:r>
      <w:proofErr w:type="gramEnd"/>
      <w:r w:rsidR="00DA2B61">
        <w:rPr>
          <w:rFonts w:ascii="Times New Roman" w:hAnsi="Times New Roman" w:cs="Times New Roman"/>
          <w:sz w:val="24"/>
          <w:szCs w:val="24"/>
        </w:rPr>
        <w:t xml:space="preserve"> rashodi od mjeseca prosinca 2024.godine i do mjeseca lipnja 2025.godine.</w:t>
      </w:r>
    </w:p>
    <w:p w:rsidR="0035331D" w:rsidRPr="0035331D" w:rsidRDefault="0035331D" w:rsidP="00E35F1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za bruto plaće djelatnika zaposlenih u JUO-u u iznosu od </w:t>
      </w:r>
      <w:r w:rsidR="00E35F19">
        <w:rPr>
          <w:rFonts w:ascii="Times New Roman" w:hAnsi="Times New Roman" w:cs="Times New Roman"/>
          <w:sz w:val="24"/>
          <w:szCs w:val="24"/>
        </w:rPr>
        <w:t>268.300,48€</w:t>
      </w:r>
      <w:r w:rsidRPr="0035331D">
        <w:rPr>
          <w:rFonts w:ascii="Times New Roman" w:hAnsi="Times New Roman" w:cs="Times New Roman"/>
          <w:sz w:val="24"/>
          <w:szCs w:val="24"/>
        </w:rPr>
        <w:t xml:space="preserve"> i rashodi za bruto plaće proračunskog korisnik Dječjeg vrtića Cvrčak koje se financiraju iz izvora općinskog proračuna u iznosu od </w:t>
      </w:r>
      <w:r w:rsidR="00E35F19">
        <w:rPr>
          <w:rFonts w:ascii="Times New Roman" w:hAnsi="Times New Roman" w:cs="Times New Roman"/>
          <w:sz w:val="24"/>
          <w:szCs w:val="24"/>
        </w:rPr>
        <w:t>176.715,95€</w:t>
      </w:r>
      <w:r w:rsidRPr="0035331D">
        <w:rPr>
          <w:rFonts w:ascii="Times New Roman" w:hAnsi="Times New Roman" w:cs="Times New Roman"/>
          <w:sz w:val="24"/>
          <w:szCs w:val="24"/>
        </w:rPr>
        <w:t>.</w:t>
      </w:r>
    </w:p>
    <w:p w:rsidR="0035331D" w:rsidRPr="0035331D" w:rsidRDefault="0035331D" w:rsidP="00E35F1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="00E35F19">
        <w:rPr>
          <w:rFonts w:ascii="Times New Roman" w:hAnsi="Times New Roman" w:cs="Times New Roman"/>
          <w:sz w:val="24"/>
          <w:szCs w:val="24"/>
        </w:rPr>
        <w:t>JUO-a iznose 11.765,81€ a rashodi proračunskog korisnika iznose 16.294,99€.</w:t>
      </w:r>
      <w:r w:rsidRPr="0035331D">
        <w:rPr>
          <w:rFonts w:ascii="Times New Roman" w:hAnsi="Times New Roman" w:cs="Times New Roman"/>
          <w:sz w:val="24"/>
          <w:szCs w:val="24"/>
        </w:rPr>
        <w:t xml:space="preserve"> Rashode čine naknada za regres i naknada za troškove prehrane djelatnika. </w:t>
      </w:r>
    </w:p>
    <w:p w:rsidR="00E35F19" w:rsidRDefault="0035331D" w:rsidP="004A309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doprinosi na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 xml:space="preserve">plaće </w:t>
      </w:r>
      <w:r w:rsidR="00E35F19">
        <w:rPr>
          <w:rFonts w:ascii="Times New Roman" w:hAnsi="Times New Roman" w:cs="Times New Roman"/>
          <w:sz w:val="24"/>
          <w:szCs w:val="24"/>
        </w:rPr>
        <w:t xml:space="preserve"> djelatnika</w:t>
      </w:r>
      <w:proofErr w:type="gramEnd"/>
      <w:r w:rsidR="00E35F19">
        <w:rPr>
          <w:rFonts w:ascii="Times New Roman" w:hAnsi="Times New Roman" w:cs="Times New Roman"/>
          <w:sz w:val="24"/>
          <w:szCs w:val="24"/>
        </w:rPr>
        <w:t xml:space="preserve"> JUO-a iznose 44.490,84€ a rashodi za doprinose proračunskog korisnika iznose 29.158,10€.</w:t>
      </w:r>
    </w:p>
    <w:p w:rsidR="00491334" w:rsidRDefault="00E35F19" w:rsidP="004A3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334">
        <w:rPr>
          <w:rFonts w:ascii="Times New Roman" w:hAnsi="Times New Roman" w:cs="Times New Roman"/>
          <w:sz w:val="24"/>
          <w:szCs w:val="24"/>
        </w:rPr>
        <w:t>Rashodi za zaposlene ostvareni su u većem iznosu nego istom izvještajnom razdoblju prošle godine radi zapošljavanje novih djlelatnika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1334">
        <w:rPr>
          <w:rFonts w:ascii="Times New Roman" w:hAnsi="Times New Roman" w:cs="Times New Roman"/>
          <w:sz w:val="24"/>
          <w:szCs w:val="24"/>
        </w:rPr>
        <w:t xml:space="preserve"> povratka djelatnika </w:t>
      </w:r>
      <w:r>
        <w:rPr>
          <w:rFonts w:ascii="Times New Roman" w:hAnsi="Times New Roman" w:cs="Times New Roman"/>
          <w:sz w:val="24"/>
          <w:szCs w:val="24"/>
        </w:rPr>
        <w:t>sa bolovanja preko 42 dana te iz razloga što izvještajno razdoblje 2025.godine terete i rashodi od mjeseca lipnja 2025.godine.</w:t>
      </w:r>
    </w:p>
    <w:p w:rsidR="00491334" w:rsidRPr="0035331D" w:rsidRDefault="00491334" w:rsidP="004913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Materijalni rashodi ostvareni su u iznosu od </w:t>
      </w:r>
      <w:r w:rsidR="00E35F19">
        <w:rPr>
          <w:rFonts w:ascii="Times New Roman" w:hAnsi="Times New Roman" w:cs="Times New Roman"/>
          <w:sz w:val="24"/>
          <w:szCs w:val="24"/>
        </w:rPr>
        <w:t>1.090.125,80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koji obuhvaćaju i materijalne rashode proračunskog korisnika. </w:t>
      </w:r>
      <w:r w:rsidR="00E35F19">
        <w:rPr>
          <w:rFonts w:ascii="Times New Roman" w:hAnsi="Times New Roman" w:cs="Times New Roman"/>
          <w:sz w:val="24"/>
          <w:szCs w:val="24"/>
        </w:rPr>
        <w:t xml:space="preserve"> Materijalni rashodi JUO-a iznose </w:t>
      </w:r>
      <w:r w:rsidR="004A3099">
        <w:rPr>
          <w:rFonts w:ascii="Times New Roman" w:hAnsi="Times New Roman" w:cs="Times New Roman"/>
          <w:sz w:val="24"/>
          <w:szCs w:val="24"/>
        </w:rPr>
        <w:t>1.026.547,49€ a materijalni rashodi proračunskog korisnika iznose 43.578,31€.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>Ovi rashodi obuhvaćaju naknade troškova zaposlenima</w:t>
      </w:r>
      <w:r w:rsidR="00E35F19">
        <w:rPr>
          <w:rFonts w:ascii="Times New Roman" w:hAnsi="Times New Roman" w:cs="Times New Roman"/>
          <w:sz w:val="24"/>
          <w:szCs w:val="24"/>
        </w:rPr>
        <w:t xml:space="preserve"> </w:t>
      </w:r>
      <w:r w:rsidR="004A3099">
        <w:rPr>
          <w:rFonts w:ascii="Times New Roman" w:hAnsi="Times New Roman" w:cs="Times New Roman"/>
          <w:sz w:val="24"/>
          <w:szCs w:val="24"/>
        </w:rPr>
        <w:t>23.724,66€</w:t>
      </w:r>
      <w:r w:rsidR="00491334">
        <w:rPr>
          <w:rFonts w:ascii="Times New Roman" w:hAnsi="Times New Roman" w:cs="Times New Roman"/>
          <w:sz w:val="24"/>
          <w:szCs w:val="24"/>
        </w:rPr>
        <w:t>, rashodi za ma</w:t>
      </w:r>
      <w:r w:rsidRPr="0035331D">
        <w:rPr>
          <w:rFonts w:ascii="Times New Roman" w:hAnsi="Times New Roman" w:cs="Times New Roman"/>
          <w:sz w:val="24"/>
          <w:szCs w:val="24"/>
        </w:rPr>
        <w:t xml:space="preserve">terijal i energiju u iznosu od </w:t>
      </w:r>
      <w:r w:rsidR="004A3099">
        <w:rPr>
          <w:rFonts w:ascii="Times New Roman" w:hAnsi="Times New Roman" w:cs="Times New Roman"/>
          <w:sz w:val="24"/>
          <w:szCs w:val="24"/>
        </w:rPr>
        <w:t>322.469,87</w:t>
      </w:r>
      <w:r w:rsidRPr="0035331D">
        <w:rPr>
          <w:rFonts w:ascii="Times New Roman" w:hAnsi="Times New Roman" w:cs="Times New Roman"/>
          <w:sz w:val="24"/>
          <w:szCs w:val="24"/>
        </w:rPr>
        <w:t>€, a odnose se na rashode za uredski materijal, materijal i sirovine, energiju, materijal i dijelovi za tekuće i investicijsko održavanje te sitni inventar i zaštitna radna odjeća.</w:t>
      </w:r>
    </w:p>
    <w:p w:rsidR="004A3099" w:rsidRPr="0035331D" w:rsidRDefault="004A3099" w:rsidP="00353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izvještajnog razdoblja 2025.godine su znatno veći u odnosu na izvršenje 2024.godine radi većih troškova nabavke materijala za održavanje vanjske rasvjete.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Rashodi za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usluge  iznose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 </w:t>
      </w:r>
      <w:r w:rsidR="004A3099">
        <w:rPr>
          <w:rFonts w:ascii="Times New Roman" w:hAnsi="Times New Roman" w:cs="Times New Roman"/>
          <w:sz w:val="24"/>
          <w:szCs w:val="24"/>
        </w:rPr>
        <w:t>689.431,66</w:t>
      </w:r>
      <w:r w:rsidRPr="0035331D">
        <w:rPr>
          <w:rFonts w:ascii="Times New Roman" w:hAnsi="Times New Roman" w:cs="Times New Roman"/>
          <w:sz w:val="24"/>
          <w:szCs w:val="24"/>
        </w:rPr>
        <w:t>€. Navedene rashode čine rashodi za usluge pošte i telefona, usluge tekućeg i investicijskog održavanja, usluge promidžbe i informiranja, komunalne usluge, zakupnina i najamnina, zdravstvene i veterinarske usluge, intelektualne i osobne usluge, računalne usluge i ostale usluge.</w:t>
      </w:r>
    </w:p>
    <w:p w:rsidR="007D35FA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Ostali nespomenuti rashodi poslovanja iznose </w:t>
      </w:r>
      <w:r w:rsidR="004A3099">
        <w:rPr>
          <w:rFonts w:ascii="Times New Roman" w:hAnsi="Times New Roman" w:cs="Times New Roman"/>
          <w:sz w:val="24"/>
          <w:szCs w:val="24"/>
        </w:rPr>
        <w:t>54.499,61</w:t>
      </w:r>
      <w:r w:rsidRPr="0035331D">
        <w:rPr>
          <w:rFonts w:ascii="Times New Roman" w:hAnsi="Times New Roman" w:cs="Times New Roman"/>
          <w:sz w:val="24"/>
          <w:szCs w:val="24"/>
        </w:rPr>
        <w:t>€, a odnose se na naknade članovima predstavničkih tijela, premije osiguranja, reprezentacija, troškovi članarina, pristojbe i naknade, troškovi sudskih postupaka iz prijašnjih godina i ostali nespomenuti rashodi poslovanja.</w:t>
      </w:r>
      <w:r w:rsidR="00491334">
        <w:rPr>
          <w:rFonts w:ascii="Times New Roman" w:hAnsi="Times New Roman" w:cs="Times New Roman"/>
          <w:sz w:val="24"/>
          <w:szCs w:val="24"/>
        </w:rPr>
        <w:t xml:space="preserve"> </w:t>
      </w:r>
      <w:r w:rsidR="00B60301">
        <w:rPr>
          <w:rFonts w:ascii="Times New Roman" w:hAnsi="Times New Roman" w:cs="Times New Roman"/>
          <w:sz w:val="24"/>
          <w:szCs w:val="24"/>
        </w:rPr>
        <w:t xml:space="preserve">Izvršenje navedenih rashoda izvještajnog razdoblja 2025.godine je manje nego u 2024.godine jer je Općina Posedarje u 2024.godini imala troškove u </w:t>
      </w:r>
      <w:r w:rsidR="00491334">
        <w:rPr>
          <w:rFonts w:ascii="Times New Roman" w:hAnsi="Times New Roman" w:cs="Times New Roman"/>
          <w:sz w:val="24"/>
          <w:szCs w:val="24"/>
        </w:rPr>
        <w:t>iznos</w:t>
      </w:r>
      <w:r w:rsidR="00B60301">
        <w:rPr>
          <w:rFonts w:ascii="Times New Roman" w:hAnsi="Times New Roman" w:cs="Times New Roman"/>
          <w:sz w:val="24"/>
          <w:szCs w:val="24"/>
        </w:rPr>
        <w:t>u</w:t>
      </w:r>
      <w:r w:rsidR="00491334">
        <w:rPr>
          <w:rFonts w:ascii="Times New Roman" w:hAnsi="Times New Roman" w:cs="Times New Roman"/>
          <w:sz w:val="24"/>
          <w:szCs w:val="24"/>
        </w:rPr>
        <w:t xml:space="preserve"> od 239.950,00 odnosi se na </w:t>
      </w:r>
      <w:r w:rsidR="007D35FA">
        <w:rPr>
          <w:rFonts w:ascii="Times New Roman" w:hAnsi="Times New Roman" w:cs="Times New Roman"/>
          <w:sz w:val="24"/>
          <w:szCs w:val="24"/>
        </w:rPr>
        <w:t>izvan</w:t>
      </w:r>
      <w:r w:rsidR="00491334">
        <w:rPr>
          <w:rFonts w:ascii="Times New Roman" w:hAnsi="Times New Roman" w:cs="Times New Roman"/>
          <w:sz w:val="24"/>
          <w:szCs w:val="24"/>
        </w:rPr>
        <w:t xml:space="preserve">sudsku nagodbu s pravnom osobom </w:t>
      </w:r>
      <w:proofErr w:type="gramStart"/>
      <w:r w:rsidR="00491334">
        <w:rPr>
          <w:rFonts w:ascii="Times New Roman" w:hAnsi="Times New Roman" w:cs="Times New Roman"/>
          <w:sz w:val="24"/>
          <w:szCs w:val="24"/>
        </w:rPr>
        <w:t>COLAS  iz</w:t>
      </w:r>
      <w:proofErr w:type="gramEnd"/>
      <w:r w:rsidR="00491334">
        <w:rPr>
          <w:rFonts w:ascii="Times New Roman" w:hAnsi="Times New Roman" w:cs="Times New Roman"/>
          <w:sz w:val="24"/>
          <w:szCs w:val="24"/>
        </w:rPr>
        <w:t xml:space="preserve"> Varaždina za izgubljeni spor za</w:t>
      </w:r>
      <w:r w:rsidR="007D35FA">
        <w:rPr>
          <w:rFonts w:ascii="Times New Roman" w:hAnsi="Times New Roman" w:cs="Times New Roman"/>
          <w:sz w:val="24"/>
          <w:szCs w:val="24"/>
        </w:rPr>
        <w:t xml:space="preserve"> izgubljenu dobit za prodano zemljište u Poslovnoj zoni Poseadrje/Slivnica.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Financijski rashodi </w:t>
      </w:r>
      <w:r w:rsidRPr="0035331D">
        <w:rPr>
          <w:rFonts w:ascii="Times New Roman" w:hAnsi="Times New Roman" w:cs="Times New Roman"/>
          <w:sz w:val="24"/>
          <w:szCs w:val="24"/>
        </w:rPr>
        <w:t>ostvareni su u iznosu od</w:t>
      </w:r>
      <w:r w:rsidRPr="00353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301">
        <w:rPr>
          <w:rFonts w:ascii="Times New Roman" w:hAnsi="Times New Roman" w:cs="Times New Roman"/>
          <w:b/>
          <w:sz w:val="24"/>
          <w:szCs w:val="24"/>
        </w:rPr>
        <w:t>3</w:t>
      </w:r>
      <w:r w:rsidR="00B60301" w:rsidRPr="00B60301">
        <w:rPr>
          <w:rFonts w:ascii="Times New Roman" w:hAnsi="Times New Roman" w:cs="Times New Roman"/>
          <w:sz w:val="24"/>
          <w:szCs w:val="24"/>
        </w:rPr>
        <w:t>.122,89</w:t>
      </w:r>
      <w:r w:rsidRPr="0035331D">
        <w:rPr>
          <w:rFonts w:ascii="Times New Roman" w:hAnsi="Times New Roman" w:cs="Times New Roman"/>
          <w:sz w:val="24"/>
          <w:szCs w:val="24"/>
        </w:rPr>
        <w:t xml:space="preserve">€ a odnose se na rashodi za bankarske usluge i usluge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>platnog  prometa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>, zatezne kamate i ostali nespomenuti financijski rashodi.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301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Pomoći dane u inozemstvo i unutar općeg proračuna </w:t>
      </w:r>
      <w:r w:rsidRPr="0035331D">
        <w:rPr>
          <w:rFonts w:ascii="Times New Roman" w:hAnsi="Times New Roman" w:cs="Times New Roman"/>
          <w:sz w:val="24"/>
          <w:szCs w:val="24"/>
        </w:rPr>
        <w:t xml:space="preserve">ostvarene su u iznosu od </w:t>
      </w:r>
      <w:r w:rsidR="00B60301">
        <w:rPr>
          <w:rFonts w:ascii="Times New Roman" w:hAnsi="Times New Roman" w:cs="Times New Roman"/>
          <w:sz w:val="24"/>
          <w:szCs w:val="24"/>
        </w:rPr>
        <w:t>22.378,81</w:t>
      </w:r>
      <w:r w:rsidR="007D35FA">
        <w:rPr>
          <w:rFonts w:ascii="Times New Roman" w:hAnsi="Times New Roman" w:cs="Times New Roman"/>
          <w:sz w:val="24"/>
          <w:szCs w:val="24"/>
        </w:rPr>
        <w:t>2</w:t>
      </w:r>
      <w:r w:rsidRPr="0035331D">
        <w:rPr>
          <w:rFonts w:ascii="Times New Roman" w:hAnsi="Times New Roman" w:cs="Times New Roman"/>
          <w:sz w:val="24"/>
          <w:szCs w:val="24"/>
        </w:rPr>
        <w:t>€</w:t>
      </w:r>
      <w:r w:rsidR="00B60301">
        <w:rPr>
          <w:rFonts w:ascii="Times New Roman" w:hAnsi="Times New Roman" w:cs="Times New Roman"/>
          <w:sz w:val="24"/>
          <w:szCs w:val="24"/>
        </w:rPr>
        <w:t>. Pomoć drugom proračunu odnosi se na pomoć Općini Poličnik u iznosu od 8.218,45€ a odonsi se na sufinanciranje</w:t>
      </w: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  <w:r w:rsidR="00B60301">
        <w:rPr>
          <w:rFonts w:ascii="Times New Roman" w:hAnsi="Times New Roman" w:cs="Times New Roman"/>
          <w:sz w:val="24"/>
          <w:szCs w:val="24"/>
        </w:rPr>
        <w:t>zajedničkog upravnog odjela komunalnog redarstva.</w:t>
      </w:r>
    </w:p>
    <w:p w:rsidR="0035331D" w:rsidRDefault="00B60301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proračunskim korisnicima drugih proračuna ostvarene su u iznosu od 14.160,36€ </w:t>
      </w:r>
      <w:r w:rsidR="0035331D" w:rsidRPr="0035331D">
        <w:rPr>
          <w:rFonts w:ascii="Times New Roman" w:hAnsi="Times New Roman" w:cs="Times New Roman"/>
          <w:sz w:val="24"/>
          <w:szCs w:val="24"/>
        </w:rPr>
        <w:t>a odnose se na pomoć Dječjem vrtiću Latica koji je</w:t>
      </w:r>
      <w:r w:rsidR="00FD31C5">
        <w:rPr>
          <w:rFonts w:ascii="Times New Roman" w:hAnsi="Times New Roman" w:cs="Times New Roman"/>
          <w:sz w:val="24"/>
          <w:szCs w:val="24"/>
        </w:rPr>
        <w:t xml:space="preserve"> korisnik proračuna grada Zadra dječjem vrtiću Ljubičica iz Maslenice za sufinanciranje boravka djece s područja Općine Posed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31C5">
        <w:rPr>
          <w:rFonts w:ascii="Times New Roman" w:hAnsi="Times New Roman" w:cs="Times New Roman"/>
          <w:sz w:val="24"/>
          <w:szCs w:val="24"/>
        </w:rPr>
        <w:t>rje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Naknade građanima i kućanstvima na temelju osigurnja i druge</w:t>
      </w:r>
      <w:r w:rsidRPr="0035331D">
        <w:rPr>
          <w:rFonts w:ascii="Times New Roman" w:hAnsi="Times New Roman" w:cs="Times New Roman"/>
          <w:sz w:val="24"/>
          <w:szCs w:val="24"/>
        </w:rPr>
        <w:t xml:space="preserve"> naknade ostvarene su u iznosu od </w:t>
      </w:r>
      <w:r w:rsidR="00B60301">
        <w:rPr>
          <w:rFonts w:ascii="Times New Roman" w:hAnsi="Times New Roman" w:cs="Times New Roman"/>
          <w:sz w:val="24"/>
          <w:szCs w:val="24"/>
        </w:rPr>
        <w:t>62.183,95€62</w:t>
      </w:r>
      <w:r w:rsidRPr="0035331D">
        <w:rPr>
          <w:rFonts w:ascii="Times New Roman" w:hAnsi="Times New Roman" w:cs="Times New Roman"/>
          <w:sz w:val="24"/>
          <w:szCs w:val="24"/>
        </w:rPr>
        <w:t xml:space="preserve"> a čine ih:</w:t>
      </w:r>
    </w:p>
    <w:p w:rsidR="0035331D" w:rsidRPr="00FD31C5" w:rsidRDefault="0035331D" w:rsidP="00FD31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nakande građanima i kućanstvima u novcu ostvarene su u iznosu od </w:t>
      </w:r>
      <w:r w:rsidR="00B60301">
        <w:rPr>
          <w:rFonts w:ascii="Times New Roman" w:hAnsi="Times New Roman" w:cs="Times New Roman"/>
          <w:sz w:val="24"/>
          <w:szCs w:val="24"/>
        </w:rPr>
        <w:t>49.500,00</w:t>
      </w:r>
      <w:r w:rsidRPr="0035331D">
        <w:rPr>
          <w:rFonts w:ascii="Times New Roman" w:hAnsi="Times New Roman" w:cs="Times New Roman"/>
          <w:sz w:val="24"/>
          <w:szCs w:val="24"/>
        </w:rPr>
        <w:t>€ a odnose se na stipendije stundetima</w:t>
      </w:r>
      <w:r w:rsidR="00FD31C5">
        <w:rPr>
          <w:rFonts w:ascii="Times New Roman" w:hAnsi="Times New Roman" w:cs="Times New Roman"/>
          <w:sz w:val="24"/>
          <w:szCs w:val="24"/>
        </w:rPr>
        <w:t xml:space="preserve"> i na naknade roditeljima za novorođenu djecu.</w:t>
      </w:r>
    </w:p>
    <w:p w:rsidR="0035331D" w:rsidRPr="0035331D" w:rsidRDefault="0035331D" w:rsidP="0035331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naknade građanima i kućanstvima u naravi ostvarene su u iznosu </w:t>
      </w:r>
      <w:proofErr w:type="gramStart"/>
      <w:r w:rsidRPr="0035331D">
        <w:rPr>
          <w:rFonts w:ascii="Times New Roman" w:hAnsi="Times New Roman" w:cs="Times New Roman"/>
          <w:sz w:val="24"/>
          <w:szCs w:val="24"/>
        </w:rPr>
        <w:t xml:space="preserve">od </w:t>
      </w:r>
      <w:r w:rsidR="00B60301">
        <w:rPr>
          <w:rFonts w:ascii="Times New Roman" w:hAnsi="Times New Roman" w:cs="Times New Roman"/>
          <w:sz w:val="24"/>
          <w:szCs w:val="24"/>
        </w:rPr>
        <w:t xml:space="preserve"> 12.683</w:t>
      </w:r>
      <w:proofErr w:type="gramEnd"/>
      <w:r w:rsidR="00B60301">
        <w:rPr>
          <w:rFonts w:ascii="Times New Roman" w:hAnsi="Times New Roman" w:cs="Times New Roman"/>
          <w:sz w:val="24"/>
          <w:szCs w:val="24"/>
        </w:rPr>
        <w:t>,965</w:t>
      </w:r>
      <w:r w:rsidRPr="0035331D">
        <w:rPr>
          <w:rFonts w:ascii="Times New Roman" w:hAnsi="Times New Roman" w:cs="Times New Roman"/>
          <w:sz w:val="24"/>
          <w:szCs w:val="24"/>
        </w:rPr>
        <w:t>€  a odnose se na rashode za sufinanciranje prijevoza srednjoškolaca i sufinanciranje autobusne linije</w:t>
      </w:r>
      <w:r w:rsidR="00FD31C5">
        <w:rPr>
          <w:rFonts w:ascii="Times New Roman" w:hAnsi="Times New Roman" w:cs="Times New Roman"/>
          <w:sz w:val="24"/>
          <w:szCs w:val="24"/>
        </w:rPr>
        <w:t xml:space="preserve"> te troškova stanovanja štićenika Centra za sicijalnu skrb Zadar.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 w:rsidRPr="0035331D">
        <w:rPr>
          <w:rFonts w:ascii="Times New Roman" w:hAnsi="Times New Roman" w:cs="Times New Roman"/>
          <w:sz w:val="24"/>
          <w:szCs w:val="24"/>
        </w:rPr>
        <w:t xml:space="preserve">ostvareni su u iznosu od </w:t>
      </w:r>
      <w:r w:rsidR="00B60301">
        <w:rPr>
          <w:rFonts w:ascii="Times New Roman" w:hAnsi="Times New Roman" w:cs="Times New Roman"/>
          <w:sz w:val="24"/>
          <w:szCs w:val="24"/>
        </w:rPr>
        <w:t>428.51,54€</w:t>
      </w:r>
      <w:r w:rsidRPr="0035331D">
        <w:rPr>
          <w:rFonts w:ascii="Times New Roman" w:hAnsi="Times New Roman" w:cs="Times New Roman"/>
          <w:sz w:val="24"/>
          <w:szCs w:val="24"/>
        </w:rPr>
        <w:t xml:space="preserve"> a odnose se na: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Default="0035331D" w:rsidP="0035331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 xml:space="preserve">tekuće donacije u </w:t>
      </w:r>
      <w:r w:rsidRPr="0035331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60301">
        <w:rPr>
          <w:rFonts w:ascii="Times New Roman" w:hAnsi="Times New Roman" w:cs="Times New Roman"/>
          <w:sz w:val="24"/>
          <w:szCs w:val="24"/>
        </w:rPr>
        <w:t>428.51,54</w:t>
      </w:r>
      <w:r w:rsidRPr="0035331D">
        <w:rPr>
          <w:rFonts w:ascii="Times New Roman" w:hAnsi="Times New Roman" w:cs="Times New Roman"/>
          <w:sz w:val="24"/>
          <w:szCs w:val="24"/>
        </w:rPr>
        <w:t>€ -tekuće pomoći udrugama koje se financiraju na temelju javnog poziva za financiranje udruga</w:t>
      </w:r>
    </w:p>
    <w:p w:rsidR="0030197F" w:rsidRDefault="0030197F" w:rsidP="003019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197F" w:rsidRDefault="0030197F" w:rsidP="00260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97F">
        <w:rPr>
          <w:rFonts w:ascii="Times New Roman" w:hAnsi="Times New Roman" w:cs="Times New Roman"/>
          <w:sz w:val="24"/>
          <w:szCs w:val="24"/>
        </w:rPr>
        <w:t>Od 01.</w:t>
      </w:r>
      <w:proofErr w:type="gramStart"/>
      <w:r w:rsidRPr="0030197F">
        <w:rPr>
          <w:rFonts w:ascii="Times New Roman" w:hAnsi="Times New Roman" w:cs="Times New Roman"/>
          <w:sz w:val="24"/>
          <w:szCs w:val="24"/>
        </w:rPr>
        <w:t>01.2025.</w:t>
      </w:r>
      <w:r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rashodi za pomoći izvan općeg proračuna i rashodi za donacije više se ne knjiže po novčanom načelu u trenutku plaćanja, nego po modificiranom načelu nastanka događaja, odnosno u trenutku preuzimanja obveze.  </w:t>
      </w:r>
    </w:p>
    <w:p w:rsidR="0030197F" w:rsidRPr="0030197F" w:rsidRDefault="0030197F" w:rsidP="00260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proofErr w:type="gramStart"/>
      <w:r>
        <w:rPr>
          <w:rFonts w:ascii="Times New Roman" w:hAnsi="Times New Roman" w:cs="Times New Roman"/>
          <w:sz w:val="24"/>
          <w:szCs w:val="24"/>
        </w:rPr>
        <w:t>navedenog  rashodi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izvještajnog razdoblja 2025.godine znatno su veći nego u izvještajnom razdoblju 2024.godine.</w:t>
      </w:r>
    </w:p>
    <w:p w:rsidR="0035331D" w:rsidRPr="0035331D" w:rsidRDefault="0035331D" w:rsidP="00FD31C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5331D" w:rsidRDefault="008246C4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C4">
        <w:rPr>
          <w:rFonts w:ascii="Times New Roman" w:hAnsi="Times New Roman" w:cs="Times New Roman"/>
          <w:b/>
          <w:sz w:val="24"/>
          <w:szCs w:val="24"/>
        </w:rPr>
        <w:t xml:space="preserve">Rashodi za nabavu nefinancijske imovine ostvareni su u iznosu od </w:t>
      </w:r>
      <w:r w:rsidR="0030197F">
        <w:rPr>
          <w:rFonts w:ascii="Times New Roman" w:hAnsi="Times New Roman" w:cs="Times New Roman"/>
          <w:b/>
          <w:sz w:val="24"/>
          <w:szCs w:val="24"/>
        </w:rPr>
        <w:t>432.464,09€ a čine ih:</w:t>
      </w:r>
    </w:p>
    <w:p w:rsidR="0030197F" w:rsidRPr="008246C4" w:rsidRDefault="0030197F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za nabavu neproizvedene dugotrajne </w:t>
      </w:r>
      <w:proofErr w:type="gramStart"/>
      <w:r w:rsidRPr="0035331D">
        <w:rPr>
          <w:rFonts w:ascii="Times New Roman" w:hAnsi="Times New Roman" w:cs="Times New Roman"/>
          <w:b/>
          <w:sz w:val="24"/>
          <w:szCs w:val="24"/>
        </w:rPr>
        <w:t>imovine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 ostvareni</w:t>
      </w:r>
      <w:proofErr w:type="gramEnd"/>
      <w:r w:rsidRPr="0035331D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30197F">
        <w:rPr>
          <w:rFonts w:ascii="Times New Roman" w:hAnsi="Times New Roman" w:cs="Times New Roman"/>
          <w:sz w:val="24"/>
          <w:szCs w:val="24"/>
        </w:rPr>
        <w:t>60.605,73</w:t>
      </w:r>
      <w:r w:rsidR="008246C4">
        <w:rPr>
          <w:rFonts w:ascii="Times New Roman" w:hAnsi="Times New Roman" w:cs="Times New Roman"/>
          <w:sz w:val="24"/>
          <w:szCs w:val="24"/>
        </w:rPr>
        <w:t>€ a odnose se na rashode za idejne projekte.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b/>
          <w:sz w:val="24"/>
          <w:szCs w:val="24"/>
        </w:rPr>
        <w:t>Rashodi za nabavu proizvedene dugotrajne imovine</w:t>
      </w:r>
      <w:r w:rsidRPr="0035331D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30197F">
        <w:rPr>
          <w:rFonts w:ascii="Times New Roman" w:hAnsi="Times New Roman" w:cs="Times New Roman"/>
          <w:sz w:val="24"/>
          <w:szCs w:val="24"/>
        </w:rPr>
        <w:t>371.858,36 a čine i</w:t>
      </w:r>
      <w:r w:rsidRPr="0035331D">
        <w:rPr>
          <w:rFonts w:ascii="Times New Roman" w:hAnsi="Times New Roman" w:cs="Times New Roman"/>
          <w:sz w:val="24"/>
          <w:szCs w:val="24"/>
        </w:rPr>
        <w:t>h: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35331D" w:rsidRDefault="00323B78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97F" w:rsidRDefault="0035331D" w:rsidP="0030197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građevinski objekti u iznosu od </w:t>
      </w:r>
      <w:r w:rsidR="0030197F">
        <w:rPr>
          <w:rFonts w:ascii="Times New Roman" w:hAnsi="Times New Roman" w:cs="Times New Roman"/>
          <w:sz w:val="24"/>
          <w:szCs w:val="24"/>
        </w:rPr>
        <w:t>267.713,38</w:t>
      </w:r>
      <w:r w:rsidRPr="0035331D">
        <w:rPr>
          <w:rFonts w:ascii="Times New Roman" w:hAnsi="Times New Roman" w:cs="Times New Roman"/>
          <w:sz w:val="24"/>
          <w:szCs w:val="24"/>
        </w:rPr>
        <w:t>€ (sportski objekti, ceste, energetski i komunikacijski vodovi</w:t>
      </w:r>
      <w:r w:rsidR="0030197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0197F" w:rsidRPr="0030197F">
        <w:rPr>
          <w:rFonts w:ascii="Times New Roman" w:hAnsi="Times New Roman" w:cs="Times New Roman"/>
          <w:sz w:val="24"/>
          <w:szCs w:val="24"/>
        </w:rPr>
        <w:t>58.862,50</w:t>
      </w:r>
      <w:r w:rsidRPr="0035331D">
        <w:rPr>
          <w:rFonts w:ascii="Times New Roman" w:hAnsi="Times New Roman" w:cs="Times New Roman"/>
          <w:sz w:val="24"/>
          <w:szCs w:val="24"/>
        </w:rPr>
        <w:t>, ostali nespomenuti građevinski objekti koji se odnose, nastavak gradnje zgrade za ispraćaj u mjesnom groblju u Posedarju</w:t>
      </w:r>
      <w:r w:rsidR="0030197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0197F" w:rsidRPr="0030197F">
        <w:rPr>
          <w:rFonts w:ascii="Times New Roman" w:hAnsi="Times New Roman" w:cs="Times New Roman"/>
          <w:sz w:val="24"/>
          <w:szCs w:val="24"/>
        </w:rPr>
        <w:t>208.850,88</w:t>
      </w:r>
      <w:r w:rsidR="0030197F">
        <w:rPr>
          <w:rFonts w:ascii="Times New Roman" w:hAnsi="Times New Roman" w:cs="Times New Roman"/>
          <w:sz w:val="24"/>
          <w:szCs w:val="24"/>
        </w:rPr>
        <w:t>. U 2025.godini započeo je projekt obnove zemljišnih knjiga pa je Općina Posedarje imala troškove nabavke računalne opreme i uredske opreme za djelatnike Općinskog suda koji rade na projektu i to u iznosu od 31.473,20€.</w:t>
      </w:r>
    </w:p>
    <w:p w:rsidR="00CE0BF5" w:rsidRDefault="00CE0BF5" w:rsidP="0030197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nabavke opreme za komunalni pogon, nabavke opreme za dječja igrališta, nabavke opreme za zgradu za ispraćaj u groblju u Posedarju ukupno iznose 61.296,78€.</w:t>
      </w:r>
    </w:p>
    <w:p w:rsidR="0035331D" w:rsidRPr="0035331D" w:rsidRDefault="00CE0BF5" w:rsidP="00CE0BF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2025.godni istekao je ugovor o operativnom leasingu za osbno vozilo te je isto vozilo Općina Poseadrje otkupila od leasing kuće u iznosu od 11.375,00€. </w:t>
      </w:r>
    </w:p>
    <w:p w:rsidR="0035331D" w:rsidRPr="0035331D" w:rsidRDefault="0035331D" w:rsidP="009A00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31D" w:rsidRP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76" w:rsidRP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376">
        <w:rPr>
          <w:rFonts w:ascii="Times New Roman" w:hAnsi="Times New Roman" w:cs="Times New Roman"/>
          <w:b/>
          <w:sz w:val="24"/>
          <w:szCs w:val="24"/>
        </w:rPr>
        <w:t>3.3. Rezultat poslovanja</w:t>
      </w:r>
    </w:p>
    <w:p w:rsidR="0035331D" w:rsidRDefault="0035331D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37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Posedarje je u razdoblju od 01.01.202</w:t>
      </w:r>
      <w:r w:rsidR="00323B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do 30.06.202</w:t>
      </w:r>
      <w:r w:rsidR="00323B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ostvarila manjak prihoda nad radhodima i izdacima u iznosu od </w:t>
      </w:r>
      <w:r w:rsidR="00323B78">
        <w:rPr>
          <w:rFonts w:ascii="Times New Roman" w:hAnsi="Times New Roman" w:cs="Times New Roman"/>
          <w:sz w:val="24"/>
          <w:szCs w:val="24"/>
        </w:rPr>
        <w:t>782.038,72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Dječji vrtić Cvrčak Posedarje ostvario je manjak prihoda i </w:t>
      </w:r>
      <w:proofErr w:type="gramStart"/>
      <w:r>
        <w:rPr>
          <w:rFonts w:ascii="Times New Roman" w:hAnsi="Times New Roman" w:cs="Times New Roman"/>
          <w:sz w:val="24"/>
          <w:szCs w:val="24"/>
        </w:rPr>
        <w:t>primitaka  nad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rashodima i izdacima u iznosu od </w:t>
      </w:r>
      <w:r w:rsidR="00323B78">
        <w:rPr>
          <w:rFonts w:ascii="Times New Roman" w:hAnsi="Times New Roman" w:cs="Times New Roman"/>
          <w:sz w:val="24"/>
          <w:szCs w:val="24"/>
        </w:rPr>
        <w:t>39.009,49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36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DB" w:rsidRPr="0035331D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359"/>
        <w:gridCol w:w="1420"/>
        <w:gridCol w:w="1420"/>
        <w:gridCol w:w="1717"/>
        <w:gridCol w:w="1717"/>
        <w:gridCol w:w="1717"/>
      </w:tblGrid>
      <w:tr w:rsidR="00D40EDB" w:rsidRPr="00D40EDB" w:rsidTr="00D40EDB"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UKUPNI PRIHODI I PRIMICI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UKUPNI RSHODI I IZDACI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 PRENESENI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VIŠAK/MANJAK PRIHODA I PRIMITAKA RASPOLOŽIV U SLIJEDEĆEM RAZDOBLJU</w:t>
            </w: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Općina Posedarje</w:t>
            </w:r>
          </w:p>
        </w:tc>
        <w:tc>
          <w:tcPr>
            <w:tcW w:w="1558" w:type="dxa"/>
          </w:tcPr>
          <w:p w:rsidR="00323B78" w:rsidRPr="00323B78" w:rsidRDefault="00323B78" w:rsidP="00323B7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3B78">
              <w:rPr>
                <w:rFonts w:ascii="Arial" w:hAnsi="Arial" w:cs="Arial"/>
                <w:b/>
                <w:bCs/>
                <w:sz w:val="16"/>
                <w:szCs w:val="16"/>
              </w:rPr>
              <w:t>1.734.838,32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</w:tcPr>
          <w:p w:rsidR="00323B78" w:rsidRPr="00323B78" w:rsidRDefault="00323B78" w:rsidP="00323B7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3B78">
              <w:rPr>
                <w:rFonts w:ascii="Arial" w:hAnsi="Arial" w:cs="Arial"/>
                <w:b/>
                <w:bCs/>
                <w:sz w:val="16"/>
                <w:szCs w:val="16"/>
              </w:rPr>
              <w:t>2.516.877,04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</w:tcPr>
          <w:p w:rsidR="00D40EDB" w:rsidRPr="00323B78" w:rsidRDefault="00323B78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323B78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-782.038,72</w:t>
            </w:r>
          </w:p>
        </w:tc>
        <w:tc>
          <w:tcPr>
            <w:tcW w:w="1559" w:type="dxa"/>
          </w:tcPr>
          <w:p w:rsidR="00323B78" w:rsidRPr="00323B78" w:rsidRDefault="00323B78" w:rsidP="00323B7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3B78">
              <w:rPr>
                <w:rFonts w:ascii="Arial" w:hAnsi="Arial" w:cs="Arial"/>
                <w:b/>
                <w:bCs/>
                <w:sz w:val="16"/>
                <w:szCs w:val="16"/>
              </w:rPr>
              <w:t>459.916,88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323B78" w:rsidRPr="00323B78" w:rsidRDefault="00323B78" w:rsidP="00323B7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323B78">
              <w:rPr>
                <w:rFonts w:ascii="Arial" w:hAnsi="Arial" w:cs="Arial"/>
                <w:b/>
                <w:bCs/>
                <w:sz w:val="16"/>
                <w:szCs w:val="16"/>
              </w:rPr>
              <w:t>322.121,84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DV Cvrčak Posedarje</w:t>
            </w:r>
          </w:p>
        </w:tc>
        <w:tc>
          <w:tcPr>
            <w:tcW w:w="1558" w:type="dxa"/>
          </w:tcPr>
          <w:p w:rsidR="00D40EDB" w:rsidRPr="00607375" w:rsidRDefault="00607375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07375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203.242,89</w:t>
            </w:r>
          </w:p>
        </w:tc>
        <w:tc>
          <w:tcPr>
            <w:tcW w:w="1558" w:type="dxa"/>
          </w:tcPr>
          <w:p w:rsidR="00D40EDB" w:rsidRPr="00607375" w:rsidRDefault="001914C8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242.252,38</w:t>
            </w:r>
          </w:p>
        </w:tc>
        <w:tc>
          <w:tcPr>
            <w:tcW w:w="1558" w:type="dxa"/>
          </w:tcPr>
          <w:p w:rsidR="00D40EDB" w:rsidRPr="001914C8" w:rsidRDefault="001914C8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1914C8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-39.009,49</w:t>
            </w:r>
          </w:p>
        </w:tc>
        <w:tc>
          <w:tcPr>
            <w:tcW w:w="1559" w:type="dxa"/>
          </w:tcPr>
          <w:p w:rsidR="00D40EDB" w:rsidRPr="001914C8" w:rsidRDefault="001914C8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1914C8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1.261,78</w:t>
            </w:r>
          </w:p>
        </w:tc>
        <w:tc>
          <w:tcPr>
            <w:tcW w:w="1559" w:type="dxa"/>
          </w:tcPr>
          <w:p w:rsidR="00D40EDB" w:rsidRPr="001914C8" w:rsidRDefault="001914C8" w:rsidP="00D40E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1914C8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-37.747,74</w:t>
            </w: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  <w:t>Eliminacija 671/367</w:t>
            </w:r>
          </w:p>
        </w:tc>
        <w:tc>
          <w:tcPr>
            <w:tcW w:w="1558" w:type="dxa"/>
          </w:tcPr>
          <w:p w:rsidR="001914C8" w:rsidRPr="001914C8" w:rsidRDefault="001914C8" w:rsidP="001914C8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914C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173.862,76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</w:tcPr>
          <w:p w:rsidR="001914C8" w:rsidRPr="001914C8" w:rsidRDefault="001914C8" w:rsidP="001914C8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914C8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173.862,76</w:t>
            </w:r>
          </w:p>
          <w:p w:rsidR="00D40EDB" w:rsidRPr="00D40EDB" w:rsidRDefault="00D40EDB" w:rsidP="00D40ED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40EDB" w:rsidRPr="00D40EDB" w:rsidTr="00D40EDB">
        <w:tc>
          <w:tcPr>
            <w:tcW w:w="1558" w:type="dxa"/>
          </w:tcPr>
          <w:p w:rsidR="00D40EDB" w:rsidRPr="00D40EDB" w:rsidRDefault="00D40EDB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40ED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1558" w:type="dxa"/>
          </w:tcPr>
          <w:p w:rsidR="00D40EDB" w:rsidRPr="00D40EDB" w:rsidRDefault="001914C8" w:rsidP="00D40ED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1.764.218,45</w:t>
            </w:r>
          </w:p>
        </w:tc>
        <w:tc>
          <w:tcPr>
            <w:tcW w:w="1558" w:type="dxa"/>
          </w:tcPr>
          <w:p w:rsidR="00D40EDB" w:rsidRPr="00D40EDB" w:rsidRDefault="001914C8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2.585.266,66</w:t>
            </w:r>
          </w:p>
        </w:tc>
        <w:tc>
          <w:tcPr>
            <w:tcW w:w="1558" w:type="dxa"/>
          </w:tcPr>
          <w:p w:rsidR="00D40EDB" w:rsidRPr="00D40EDB" w:rsidRDefault="001914C8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-821.048,21</w:t>
            </w:r>
          </w:p>
        </w:tc>
        <w:tc>
          <w:tcPr>
            <w:tcW w:w="1559" w:type="dxa"/>
          </w:tcPr>
          <w:p w:rsidR="00D40EDB" w:rsidRPr="00D40EDB" w:rsidRDefault="001914C8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461.178,66</w:t>
            </w:r>
          </w:p>
        </w:tc>
        <w:tc>
          <w:tcPr>
            <w:tcW w:w="1559" w:type="dxa"/>
          </w:tcPr>
          <w:p w:rsidR="00D40EDB" w:rsidRPr="00D40EDB" w:rsidRDefault="001914C8" w:rsidP="00D40E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-359.869,58</w:t>
            </w:r>
          </w:p>
        </w:tc>
      </w:tr>
    </w:tbl>
    <w:p w:rsidR="00895B36" w:rsidRPr="0035331D" w:rsidRDefault="00895B36" w:rsidP="00353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4C8" w:rsidRDefault="001914C8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1914C8" w:rsidRDefault="001914C8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4. POSEBNI IZVJEŠTAJI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lastRenderedPageBreak/>
        <w:t>Posebni izvještaji u polugodišnjem izvještaju o izvršenju proračuna su: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korištenju proračunske zalihe,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zaduživanju na domaćem i stranom tržištu novca i kapitala i</w:t>
      </w:r>
    </w:p>
    <w:p w:rsidR="00E10C7B" w:rsidRPr="00E10C7B" w:rsidRDefault="00E10C7B" w:rsidP="00E10C7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10C7B">
        <w:rPr>
          <w:rFonts w:ascii="Times New Roman" w:eastAsia="Times New Roman" w:hAnsi="Times New Roman" w:cs="Times New Roman"/>
          <w:sz w:val="24"/>
          <w:szCs w:val="24"/>
        </w:rPr>
        <w:t>– izvještaj o danim jamstvima i plaćanjima po protestiranim jamstvima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 xml:space="preserve">4.1. Izvještaj o korištenju proračunske zalihe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U izvještajnom razdoblju nije bilo izvršenja sredstava proračunske zalihe.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>4.2. Izvještaj o zaduživanju na domaćem i stranom tržištu novca i kapitala</w:t>
      </w:r>
    </w:p>
    <w:p w:rsidR="00E10C7B" w:rsidRPr="00E10C7B" w:rsidRDefault="00E10C7B" w:rsidP="00E10C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:rsidR="00E10C7B" w:rsidRPr="00E10C7B" w:rsidRDefault="00E10C7B" w:rsidP="00191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5331D">
        <w:rPr>
          <w:rFonts w:ascii="Times New Roman" w:hAnsi="Times New Roman" w:cs="Times New Roman"/>
          <w:sz w:val="24"/>
          <w:szCs w:val="24"/>
        </w:rPr>
        <w:t>U 202</w:t>
      </w:r>
      <w:r w:rsidR="001914C8">
        <w:rPr>
          <w:rFonts w:ascii="Times New Roman" w:hAnsi="Times New Roman" w:cs="Times New Roman"/>
          <w:sz w:val="24"/>
          <w:szCs w:val="24"/>
        </w:rPr>
        <w:t>5</w:t>
      </w:r>
      <w:r w:rsidRPr="0035331D">
        <w:rPr>
          <w:rFonts w:ascii="Times New Roman" w:hAnsi="Times New Roman" w:cs="Times New Roman"/>
          <w:sz w:val="24"/>
          <w:szCs w:val="24"/>
        </w:rPr>
        <w:t>.g</w:t>
      </w:r>
      <w:r w:rsidR="001914C8">
        <w:rPr>
          <w:rFonts w:ascii="Times New Roman" w:hAnsi="Times New Roman" w:cs="Times New Roman"/>
          <w:sz w:val="24"/>
          <w:szCs w:val="24"/>
        </w:rPr>
        <w:t>odini Općina Posedarje nije se zaduživala na tržištu novca i kapitala.</w:t>
      </w:r>
      <w:r w:rsidRPr="00353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523" w:rsidRDefault="00A10523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  <w:t xml:space="preserve">4.3.  Izvještaj o danim jamstvima i plaćanjima po protestiranim jamstvima </w:t>
      </w: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ar-SA"/>
        </w:rPr>
      </w:pPr>
    </w:p>
    <w:p w:rsidR="00E10C7B" w:rsidRPr="00E10C7B" w:rsidRDefault="00E10C7B" w:rsidP="00E10C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U izvještajnom razdoblju Općina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Posedarje</w:t>
      </w:r>
      <w:r w:rsidRPr="00E10C7B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nije davala jamstva, te ne postoje ni izdaci po jamstvima.</w:t>
      </w: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376" w:rsidRDefault="00C15376" w:rsidP="00353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2F3" w:rsidRDefault="008352F3"/>
    <w:sectPr w:rsidR="00835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309"/>
    <w:multiLevelType w:val="hybridMultilevel"/>
    <w:tmpl w:val="310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8E0C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733D"/>
    <w:multiLevelType w:val="hybridMultilevel"/>
    <w:tmpl w:val="77D2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F0E"/>
    <w:multiLevelType w:val="hybridMultilevel"/>
    <w:tmpl w:val="C368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12620"/>
    <w:multiLevelType w:val="hybridMultilevel"/>
    <w:tmpl w:val="CCB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D67"/>
    <w:multiLevelType w:val="hybridMultilevel"/>
    <w:tmpl w:val="B25E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15678"/>
    <w:multiLevelType w:val="hybridMultilevel"/>
    <w:tmpl w:val="07824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E34EDF"/>
    <w:multiLevelType w:val="hybridMultilevel"/>
    <w:tmpl w:val="2F0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DE6406"/>
    <w:multiLevelType w:val="multilevel"/>
    <w:tmpl w:val="1EB44224"/>
    <w:lvl w:ilvl="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5A95A54"/>
    <w:multiLevelType w:val="hybridMultilevel"/>
    <w:tmpl w:val="1E54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6B61"/>
    <w:multiLevelType w:val="multilevel"/>
    <w:tmpl w:val="7BCCA30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4" w15:restartNumberingAfterBreak="0">
    <w:nsid w:val="4C592528"/>
    <w:multiLevelType w:val="hybridMultilevel"/>
    <w:tmpl w:val="9A96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73A01"/>
    <w:multiLevelType w:val="hybridMultilevel"/>
    <w:tmpl w:val="D35A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D1515"/>
    <w:multiLevelType w:val="hybridMultilevel"/>
    <w:tmpl w:val="D616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D8C"/>
    <w:multiLevelType w:val="hybridMultilevel"/>
    <w:tmpl w:val="A65C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40E15"/>
    <w:multiLevelType w:val="hybridMultilevel"/>
    <w:tmpl w:val="CA94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D512E"/>
    <w:multiLevelType w:val="hybridMultilevel"/>
    <w:tmpl w:val="464E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61A4"/>
    <w:multiLevelType w:val="hybridMultilevel"/>
    <w:tmpl w:val="B9DC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E719F"/>
    <w:multiLevelType w:val="hybridMultilevel"/>
    <w:tmpl w:val="7C22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5281"/>
    <w:multiLevelType w:val="hybridMultilevel"/>
    <w:tmpl w:val="5C2ED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C81413"/>
    <w:multiLevelType w:val="hybridMultilevel"/>
    <w:tmpl w:val="927A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23EF"/>
    <w:multiLevelType w:val="hybridMultilevel"/>
    <w:tmpl w:val="7B9C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D46"/>
    <w:multiLevelType w:val="hybridMultilevel"/>
    <w:tmpl w:val="60A6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65116"/>
    <w:multiLevelType w:val="multilevel"/>
    <w:tmpl w:val="251E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2"/>
  </w:num>
  <w:num w:numId="5">
    <w:abstractNumId w:val="8"/>
  </w:num>
  <w:num w:numId="6">
    <w:abstractNumId w:val="7"/>
  </w:num>
  <w:num w:numId="7">
    <w:abstractNumId w:val="29"/>
  </w:num>
  <w:num w:numId="8">
    <w:abstractNumId w:val="20"/>
  </w:num>
  <w:num w:numId="9">
    <w:abstractNumId w:val="4"/>
  </w:num>
  <w:num w:numId="10">
    <w:abstractNumId w:val="28"/>
  </w:num>
  <w:num w:numId="11">
    <w:abstractNumId w:val="24"/>
  </w:num>
  <w:num w:numId="12">
    <w:abstractNumId w:val="22"/>
  </w:num>
  <w:num w:numId="13">
    <w:abstractNumId w:val="6"/>
  </w:num>
  <w:num w:numId="14">
    <w:abstractNumId w:val="27"/>
  </w:num>
  <w:num w:numId="15">
    <w:abstractNumId w:val="5"/>
  </w:num>
  <w:num w:numId="16">
    <w:abstractNumId w:val="18"/>
  </w:num>
  <w:num w:numId="17">
    <w:abstractNumId w:val="10"/>
  </w:num>
  <w:num w:numId="18">
    <w:abstractNumId w:val="19"/>
  </w:num>
  <w:num w:numId="19">
    <w:abstractNumId w:val="11"/>
  </w:num>
  <w:num w:numId="20">
    <w:abstractNumId w:val="1"/>
  </w:num>
  <w:num w:numId="21">
    <w:abstractNumId w:val="14"/>
  </w:num>
  <w:num w:numId="22">
    <w:abstractNumId w:val="16"/>
  </w:num>
  <w:num w:numId="23">
    <w:abstractNumId w:val="21"/>
  </w:num>
  <w:num w:numId="24">
    <w:abstractNumId w:val="25"/>
  </w:num>
  <w:num w:numId="25">
    <w:abstractNumId w:val="26"/>
  </w:num>
  <w:num w:numId="26">
    <w:abstractNumId w:val="23"/>
  </w:num>
  <w:num w:numId="27">
    <w:abstractNumId w:val="9"/>
  </w:num>
  <w:num w:numId="28">
    <w:abstractNumId w:val="0"/>
  </w:num>
  <w:num w:numId="29">
    <w:abstractNumId w:val="3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EC"/>
    <w:rsid w:val="00085836"/>
    <w:rsid w:val="001914C8"/>
    <w:rsid w:val="00260E88"/>
    <w:rsid w:val="00286936"/>
    <w:rsid w:val="0030197F"/>
    <w:rsid w:val="003108A6"/>
    <w:rsid w:val="00323B78"/>
    <w:rsid w:val="0035331D"/>
    <w:rsid w:val="00354606"/>
    <w:rsid w:val="00363A43"/>
    <w:rsid w:val="00491334"/>
    <w:rsid w:val="004A3099"/>
    <w:rsid w:val="004B4169"/>
    <w:rsid w:val="00527D40"/>
    <w:rsid w:val="00607375"/>
    <w:rsid w:val="00706719"/>
    <w:rsid w:val="007C070A"/>
    <w:rsid w:val="007C12DC"/>
    <w:rsid w:val="007C207C"/>
    <w:rsid w:val="007D35FA"/>
    <w:rsid w:val="00807649"/>
    <w:rsid w:val="008246C4"/>
    <w:rsid w:val="008352F3"/>
    <w:rsid w:val="00895B36"/>
    <w:rsid w:val="008A0ADE"/>
    <w:rsid w:val="009A0067"/>
    <w:rsid w:val="00A10523"/>
    <w:rsid w:val="00A30AF7"/>
    <w:rsid w:val="00AF5866"/>
    <w:rsid w:val="00B050DD"/>
    <w:rsid w:val="00B60301"/>
    <w:rsid w:val="00B87CCC"/>
    <w:rsid w:val="00C14885"/>
    <w:rsid w:val="00C15376"/>
    <w:rsid w:val="00C15E02"/>
    <w:rsid w:val="00C53375"/>
    <w:rsid w:val="00C72FEB"/>
    <w:rsid w:val="00CB30B4"/>
    <w:rsid w:val="00CE0BF5"/>
    <w:rsid w:val="00D04E4D"/>
    <w:rsid w:val="00D21317"/>
    <w:rsid w:val="00D40EDB"/>
    <w:rsid w:val="00DA2B61"/>
    <w:rsid w:val="00DE4B09"/>
    <w:rsid w:val="00E10793"/>
    <w:rsid w:val="00E10C7B"/>
    <w:rsid w:val="00E35F19"/>
    <w:rsid w:val="00E532EC"/>
    <w:rsid w:val="00ED18E4"/>
    <w:rsid w:val="00EE4ACA"/>
    <w:rsid w:val="00F41165"/>
    <w:rsid w:val="00FA2E65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7842"/>
  <w15:chartTrackingRefBased/>
  <w15:docId w15:val="{066C4028-5851-40EC-9145-14BD9D28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5331D"/>
  </w:style>
  <w:style w:type="paragraph" w:styleId="NoSpacing">
    <w:name w:val="No Spacing"/>
    <w:uiPriority w:val="1"/>
    <w:qFormat/>
    <w:rsid w:val="003533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31D"/>
    <w:pPr>
      <w:spacing w:after="200" w:line="276" w:lineRule="auto"/>
      <w:ind w:left="720"/>
      <w:contextualSpacing/>
    </w:pPr>
    <w:rPr>
      <w:rFonts w:eastAsiaTheme="minorEastAsia"/>
      <w:lang w:val="hr-HR" w:eastAsia="hr-HR"/>
    </w:rPr>
  </w:style>
  <w:style w:type="paragraph" w:styleId="NormalWeb">
    <w:name w:val="Normal (Web)"/>
    <w:basedOn w:val="Normal"/>
    <w:uiPriority w:val="99"/>
    <w:unhideWhenUsed/>
    <w:rsid w:val="0035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35331D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31D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5331D"/>
    <w:rPr>
      <w:rFonts w:eastAsiaTheme="minorEastAsia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5331D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5331D"/>
    <w:rPr>
      <w:rFonts w:eastAsiaTheme="minorEastAsia"/>
      <w:lang w:val="hr-HR" w:eastAsia="hr-HR"/>
    </w:rPr>
  </w:style>
  <w:style w:type="table" w:customStyle="1" w:styleId="TableGrid8">
    <w:name w:val="Table Grid8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35331D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4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cp:lastPrinted>2025-08-21T10:10:00Z</cp:lastPrinted>
  <dcterms:created xsi:type="dcterms:W3CDTF">2025-09-22T10:00:00Z</dcterms:created>
  <dcterms:modified xsi:type="dcterms:W3CDTF">2025-09-22T10:00:00Z</dcterms:modified>
</cp:coreProperties>
</file>