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C8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REPUBLIKA HRVATSKA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ŽUPANIJA ZADARSKA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OPĆINA POSEDARJE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jedinstveni upravni odjel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KLASA:401-01/23-01/03</w:t>
      </w:r>
    </w:p>
    <w:p w:rsidR="00467766" w:rsidRDefault="003213CD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URBROJ:298-7-2/1-23-02</w:t>
      </w:r>
    </w:p>
    <w:p w:rsidR="00820EC8" w:rsidRPr="007F58AB" w:rsidRDefault="00820EC8" w:rsidP="00113DB1">
      <w:pPr>
        <w:pStyle w:val="Header"/>
        <w:rPr>
          <w:sz w:val="24"/>
          <w:szCs w:val="24"/>
          <w:lang w:val="de-DE"/>
        </w:rPr>
      </w:pPr>
    </w:p>
    <w:p w:rsidR="00113DB1" w:rsidRPr="007F58AB" w:rsidRDefault="00113DB1" w:rsidP="00A43B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BC8" w:rsidRPr="007F58AB" w:rsidRDefault="00AC2F44" w:rsidP="00A43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 xml:space="preserve">Bilješke uz </w:t>
      </w:r>
      <w:r w:rsidR="003213CD">
        <w:rPr>
          <w:rFonts w:ascii="Times New Roman" w:hAnsi="Times New Roman" w:cs="Times New Roman"/>
          <w:b/>
          <w:sz w:val="28"/>
          <w:szCs w:val="28"/>
        </w:rPr>
        <w:t xml:space="preserve">Konsolidirane </w:t>
      </w:r>
      <w:r w:rsidRPr="007F58AB">
        <w:rPr>
          <w:rFonts w:ascii="Times New Roman" w:hAnsi="Times New Roman" w:cs="Times New Roman"/>
          <w:b/>
          <w:sz w:val="28"/>
          <w:szCs w:val="28"/>
        </w:rPr>
        <w:t>financijske izvještaje za</w:t>
      </w:r>
    </w:p>
    <w:p w:rsidR="00D1626A" w:rsidRPr="007F58AB" w:rsidRDefault="00A43BC8" w:rsidP="00D1626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razdoblj</w:t>
      </w:r>
      <w:r w:rsidR="00D0202C" w:rsidRPr="007F58AB">
        <w:rPr>
          <w:rFonts w:ascii="Times New Roman" w:hAnsi="Times New Roman" w:cs="Times New Roman"/>
          <w:b/>
          <w:sz w:val="28"/>
          <w:szCs w:val="28"/>
        </w:rPr>
        <w:t>e od 01. siječnja do 31. prosin</w:t>
      </w:r>
      <w:r w:rsidRPr="007F58AB">
        <w:rPr>
          <w:rFonts w:ascii="Times New Roman" w:hAnsi="Times New Roman" w:cs="Times New Roman"/>
          <w:b/>
          <w:sz w:val="28"/>
          <w:szCs w:val="28"/>
        </w:rPr>
        <w:t>ca 20</w:t>
      </w:r>
      <w:r w:rsidR="004E3940" w:rsidRPr="007F58AB">
        <w:rPr>
          <w:rFonts w:ascii="Times New Roman" w:hAnsi="Times New Roman" w:cs="Times New Roman"/>
          <w:b/>
          <w:sz w:val="28"/>
          <w:szCs w:val="28"/>
        </w:rPr>
        <w:t>2</w:t>
      </w:r>
      <w:r w:rsidR="00A20FEB" w:rsidRPr="007F58AB">
        <w:rPr>
          <w:rFonts w:ascii="Times New Roman" w:hAnsi="Times New Roman" w:cs="Times New Roman"/>
          <w:b/>
          <w:sz w:val="28"/>
          <w:szCs w:val="28"/>
        </w:rPr>
        <w:t>2</w:t>
      </w:r>
      <w:r w:rsidRPr="007F58AB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Pr="007F58AB" w:rsidRDefault="00A43BC8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2F44" w:rsidRPr="007F58AB" w:rsidRDefault="00AC2F44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3BC8" w:rsidRPr="007F58AB" w:rsidRDefault="00467766" w:rsidP="00A43BC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PODACI O OBVEZNIKU</w:t>
      </w:r>
      <w:r w:rsidR="00AC2F44" w:rsidRPr="007F58AB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Pr="00246309" w:rsidRDefault="00467766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8F5AA2" w:rsidRPr="00246309" w:rsidRDefault="008F5AA2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26599619939</w:t>
      </w:r>
    </w:p>
    <w:p w:rsidR="00467766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Matični broj: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02547520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RKP-a: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35038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Šifra općine: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349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Razina: 2</w:t>
      </w:r>
      <w:r w:rsidR="003213CD">
        <w:rPr>
          <w:rFonts w:ascii="Times New Roman" w:hAnsi="Times New Roman" w:cs="Times New Roman"/>
          <w:b/>
          <w:sz w:val="24"/>
          <w:szCs w:val="24"/>
        </w:rPr>
        <w:t>3</w:t>
      </w:r>
      <w:r w:rsidR="00AC2F44" w:rsidRPr="002463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213CD">
        <w:rPr>
          <w:rFonts w:ascii="Times New Roman" w:hAnsi="Times New Roman" w:cs="Times New Roman"/>
          <w:b/>
          <w:sz w:val="24"/>
          <w:szCs w:val="24"/>
        </w:rPr>
        <w:t xml:space="preserve">Konsolidirani </w:t>
      </w:r>
      <w:r w:rsidR="00AC2F44" w:rsidRPr="00246309">
        <w:rPr>
          <w:rFonts w:ascii="Times New Roman" w:hAnsi="Times New Roman" w:cs="Times New Roman"/>
          <w:b/>
          <w:sz w:val="24"/>
          <w:szCs w:val="24"/>
        </w:rPr>
        <w:t>Proračun jedinice lokalne i područne (regionalne) samouprave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Razdjel: 000</w:t>
      </w:r>
    </w:p>
    <w:p w:rsidR="00A43BC8" w:rsidRPr="00246309" w:rsidRDefault="00AC2F44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djelatnosti: 8411 – Opće djelatnosti javne uprave</w:t>
      </w:r>
    </w:p>
    <w:p w:rsidR="008F5AA2" w:rsidRPr="00246309" w:rsidRDefault="00A43BC8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Broj računa: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HR1223900011834900004</w:t>
      </w:r>
    </w:p>
    <w:p w:rsidR="007E4516" w:rsidRPr="009746AE" w:rsidRDefault="007E4516" w:rsidP="007E451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516" w:rsidRPr="009746AE" w:rsidRDefault="007E4516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20EC8" w:rsidRDefault="003213CD" w:rsidP="003938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konsolidacije, priprema i predaje konsolidiranih financijskih izvješća propisani su Zakonom o proračunu ("Narodne novine" broj 144/21) te Pravilnikom o financijskom izvješćivanju u proračunskom računovodstvu ("Narodne novine" broj3/15, 93/15, 135/15, 2/17, 28/17,112/18,126/19, 145/20 i 32/21.).</w:t>
      </w:r>
    </w:p>
    <w:p w:rsidR="003213CD" w:rsidRPr="003213CD" w:rsidRDefault="003213CD" w:rsidP="003938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Posedarje ima jednog proračunskog korisnika i to Dječji vrtić Cvrčak-Posedarje. </w:t>
      </w:r>
    </w:p>
    <w:p w:rsidR="003213CD" w:rsidRDefault="003213CD" w:rsidP="003938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procesu konsolidacije eliminirani su prihodi iskazani na kontu 671 Prihodi iz nadležnog proračuna za financiranje redovite djelatnosti. </w:t>
      </w:r>
      <w:r w:rsidR="003938BD">
        <w:rPr>
          <w:rFonts w:ascii="Times New Roman" w:hAnsi="Times New Roman" w:cs="Times New Roman"/>
          <w:sz w:val="24"/>
          <w:szCs w:val="24"/>
        </w:rPr>
        <w:t>Ukupno ostvareni prihodi i primici konsolidiranog proračuna iznose 20.528.782,38 kuna a rashodi i izdaci iznose 18.844.801,81 kuna. Z 2022. godini ostvaren je višak prihoda i primitaka u iznosu od 1.683.980,57 kuna. U 2022. godinu prenesen je manjak prihoda i primitaka u iznosu od 397.858,02 kuna tako da rezultat poslovanja 2022. godini je višak prihoda i primitaka u iznosu od 1.286.122,55 kuna.</w:t>
      </w:r>
    </w:p>
    <w:p w:rsidR="003213CD" w:rsidRPr="003213CD" w:rsidRDefault="003213CD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0EC8" w:rsidRPr="009746AE" w:rsidRDefault="00A43B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 w:rsidR="009746AE" w:rsidRPr="009746AE">
        <w:rPr>
          <w:rFonts w:ascii="Times New Roman" w:hAnsi="Times New Roman" w:cs="Times New Roman"/>
          <w:b/>
          <w:i/>
          <w:sz w:val="24"/>
          <w:szCs w:val="24"/>
        </w:rPr>
        <w:t>PR-RAS</w:t>
      </w:r>
    </w:p>
    <w:p w:rsidR="00820EC8" w:rsidRPr="009746AE" w:rsidRDefault="00820EC8" w:rsidP="009B2D02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2ED" w:rsidRDefault="009746AE" w:rsidP="009B2D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Općina Posedarje je u periodu od 01.01.2022 do </w:t>
      </w:r>
      <w:r>
        <w:rPr>
          <w:rFonts w:ascii="Times New Roman" w:hAnsi="Times New Roman" w:cs="Times New Roman"/>
          <w:sz w:val="24"/>
          <w:szCs w:val="24"/>
        </w:rPr>
        <w:t xml:space="preserve">31.12.2022. godine ostvarila ukupno </w:t>
      </w:r>
      <w:r w:rsidR="004042ED">
        <w:rPr>
          <w:rFonts w:ascii="Times New Roman" w:hAnsi="Times New Roman" w:cs="Times New Roman"/>
          <w:sz w:val="24"/>
          <w:szCs w:val="24"/>
        </w:rPr>
        <w:t>16.204.126,19 kuna prihod poslovanja od čega na dječji vrtić Cvrčak-Posedarje otpada iznos od 476.480,05 kuna. Rashodi poslovanja iznose 12.204.315,45 kuna od čega na proračunskog korsnika otpada iznos od 1.970.853,55 kuna.</w:t>
      </w:r>
    </w:p>
    <w:p w:rsidR="004042ED" w:rsidRDefault="004042ED" w:rsidP="009B2D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dugotrajne imovine iznose 4.324.656,19 kunai u cijelosti se odnose na razinu proračuna 22 Općine Posedarje. </w:t>
      </w:r>
    </w:p>
    <w:p w:rsidR="00820EC8" w:rsidRDefault="004042ED" w:rsidP="009B2D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rashodi za na</w:t>
      </w:r>
      <w:r w:rsidR="009B2D02">
        <w:rPr>
          <w:rFonts w:ascii="Times New Roman" w:hAnsi="Times New Roman" w:cs="Times New Roman"/>
          <w:sz w:val="24"/>
          <w:szCs w:val="24"/>
        </w:rPr>
        <w:t>bavu</w:t>
      </w:r>
      <w:r>
        <w:rPr>
          <w:rFonts w:ascii="Times New Roman" w:hAnsi="Times New Roman" w:cs="Times New Roman"/>
          <w:sz w:val="24"/>
          <w:szCs w:val="24"/>
        </w:rPr>
        <w:t xml:space="preserve"> nefinancijske imovine iznose 6.237.843,19 kuna i odnose se Općinu Posedarje. </w:t>
      </w:r>
      <w:r w:rsidR="009B2D02">
        <w:rPr>
          <w:rFonts w:ascii="Times New Roman" w:hAnsi="Times New Roman" w:cs="Times New Roman"/>
          <w:sz w:val="24"/>
          <w:szCs w:val="24"/>
        </w:rPr>
        <w:t>Izdaci za financijsku imovinu i otplate zajmova iznose 402.643,17 kuna i u cijelosti se odnose na tazinu 22 proračuna Općine Posedarje.</w:t>
      </w:r>
      <w:r w:rsid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D02" w:rsidRDefault="009B2D02" w:rsidP="009B2D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poslovanja razine 23 je ostvareni višak prihoda i primitaka nad rashodima i izdacima u iznosu od 1.683.980,57 kuna. Preneseni manjak prihoda i primitaka u 2022. godinu je 397.858,02 tako da je u 2022. godini rezultat poslovanja ostvareni višak prihoda i primitaka u iznosu od 1.286.122,55 kuna raspoloživ u slijedećem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9B2D02" w:rsidRPr="009B2D02" w:rsidTr="009B2D02">
        <w:tc>
          <w:tcPr>
            <w:tcW w:w="1510" w:type="dxa"/>
            <w:shd w:val="clear" w:color="auto" w:fill="BDD6EE" w:themeFill="accent1" w:themeFillTint="66"/>
          </w:tcPr>
          <w:p w:rsidR="009B2D02" w:rsidRPr="009B2D02" w:rsidRDefault="009B2D02" w:rsidP="009B2D0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NAZIV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9B2D02" w:rsidRPr="009B2D02" w:rsidRDefault="009B2D02" w:rsidP="009B2D0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UKUPNI PRIHODI I PRIMICI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9B2D02" w:rsidRPr="009B2D02" w:rsidRDefault="009B2D02" w:rsidP="009B2D0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USKUPNI RASHODI I IZDACI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9B2D02" w:rsidRPr="009B2D02" w:rsidRDefault="009B2D02" w:rsidP="009B2D0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9B2D02" w:rsidRPr="009B2D02" w:rsidRDefault="009B2D02" w:rsidP="009B2D0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VIŠAK/MANAJK PRENESENI</w:t>
            </w:r>
          </w:p>
        </w:tc>
        <w:tc>
          <w:tcPr>
            <w:tcW w:w="1510" w:type="dxa"/>
            <w:shd w:val="clear" w:color="auto" w:fill="BDD6EE" w:themeFill="accent1" w:themeFillTint="66"/>
          </w:tcPr>
          <w:p w:rsidR="009B2D02" w:rsidRPr="009B2D02" w:rsidRDefault="009B2D02" w:rsidP="009B2D02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D02">
              <w:rPr>
                <w:rFonts w:ascii="Times New Roman" w:hAnsi="Times New Roman" w:cs="Times New Roman"/>
                <w:sz w:val="16"/>
                <w:szCs w:val="16"/>
              </w:rPr>
              <w:t>VIŠAK/MANJAK RASPLOOŽIV U SLIJEDEĆEM RAZDOBLJU</w:t>
            </w:r>
          </w:p>
        </w:tc>
      </w:tr>
      <w:tr w:rsidR="009B2D02" w:rsidRPr="009B2D02" w:rsidTr="009B2D02">
        <w:tc>
          <w:tcPr>
            <w:tcW w:w="1510" w:type="dxa"/>
          </w:tcPr>
          <w:p w:rsidR="009B2D02" w:rsidRPr="009B2D02" w:rsidRDefault="009B2D02" w:rsidP="009B2D02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t>Općina Pos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edarje</w:t>
            </w:r>
          </w:p>
        </w:tc>
        <w:tc>
          <w:tcPr>
            <w:tcW w:w="1510" w:type="dxa"/>
          </w:tcPr>
          <w:p w:rsidR="009B2D02" w:rsidRPr="009B2D02" w:rsidRDefault="009B2D02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B2D02">
              <w:rPr>
                <w:rFonts w:ascii="Times New Roman" w:hAnsi="Times New Roman" w:cs="Times New Roman"/>
                <w:sz w:val="18"/>
                <w:szCs w:val="18"/>
              </w:rPr>
              <w:t>20.052.302,33</w:t>
            </w:r>
          </w:p>
        </w:tc>
        <w:tc>
          <w:tcPr>
            <w:tcW w:w="1510" w:type="dxa"/>
          </w:tcPr>
          <w:p w:rsidR="009B2D02" w:rsidRPr="009B2D02" w:rsidRDefault="009B2D02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18.365.706,26</w:t>
            </w:r>
          </w:p>
        </w:tc>
        <w:tc>
          <w:tcPr>
            <w:tcW w:w="1510" w:type="dxa"/>
          </w:tcPr>
          <w:p w:rsidR="009B2D02" w:rsidRPr="009B2D02" w:rsidRDefault="009B2D02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1.686.596,07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-409.354,58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1.277.241,49</w:t>
            </w:r>
          </w:p>
        </w:tc>
      </w:tr>
      <w:tr w:rsidR="009B2D02" w:rsidRPr="009B2D02" w:rsidTr="009B2D02">
        <w:tc>
          <w:tcPr>
            <w:tcW w:w="1510" w:type="dxa"/>
          </w:tcPr>
          <w:p w:rsidR="009B2D02" w:rsidRPr="009B2D02" w:rsidRDefault="009C5870" w:rsidP="009C587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Cvrčak-Posedarje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1.968.23</w:t>
            </w:r>
            <w:r w:rsidR="00B44A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,05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1.970.853,55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-2.615,50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11.496,56</w:t>
            </w:r>
          </w:p>
        </w:tc>
        <w:tc>
          <w:tcPr>
            <w:tcW w:w="1510" w:type="dxa"/>
          </w:tcPr>
          <w:p w:rsidR="009B2D02" w:rsidRPr="009B2D02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8.881,06</w:t>
            </w:r>
          </w:p>
        </w:tc>
      </w:tr>
      <w:tr w:rsidR="009B2D02" w:rsidRPr="009B2D02" w:rsidTr="009B2D02">
        <w:tc>
          <w:tcPr>
            <w:tcW w:w="1510" w:type="dxa"/>
          </w:tcPr>
          <w:p w:rsidR="009B2D02" w:rsidRPr="00B44ADE" w:rsidRDefault="009C5870" w:rsidP="009B2D02">
            <w:pPr>
              <w:pStyle w:val="NoSpacing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Eliminiranje konta 671 i 367</w:t>
            </w:r>
          </w:p>
        </w:tc>
        <w:tc>
          <w:tcPr>
            <w:tcW w:w="1510" w:type="dxa"/>
          </w:tcPr>
          <w:p w:rsidR="009B2D02" w:rsidRPr="00B44ADE" w:rsidRDefault="009C5870" w:rsidP="00B44AD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1.491.758,00</w:t>
            </w:r>
          </w:p>
        </w:tc>
        <w:tc>
          <w:tcPr>
            <w:tcW w:w="1510" w:type="dxa"/>
          </w:tcPr>
          <w:p w:rsidR="009B2D02" w:rsidRPr="00B44ADE" w:rsidRDefault="00B44ADE" w:rsidP="00B44AD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4A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1.491.758,00</w:t>
            </w:r>
          </w:p>
        </w:tc>
        <w:tc>
          <w:tcPr>
            <w:tcW w:w="1510" w:type="dxa"/>
          </w:tcPr>
          <w:p w:rsidR="009B2D02" w:rsidRPr="00B44ADE" w:rsidRDefault="009B2D02" w:rsidP="00B44AD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9B2D02" w:rsidRPr="00B44ADE" w:rsidRDefault="009B2D02" w:rsidP="00B44AD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10" w:type="dxa"/>
          </w:tcPr>
          <w:p w:rsidR="009B2D02" w:rsidRPr="00B44ADE" w:rsidRDefault="009B2D02" w:rsidP="00B44ADE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B2D02" w:rsidRPr="009B2D02" w:rsidTr="009B2D02">
        <w:tc>
          <w:tcPr>
            <w:tcW w:w="1510" w:type="dxa"/>
          </w:tcPr>
          <w:p w:rsidR="009B2D02" w:rsidRPr="009B2D02" w:rsidRDefault="00B44ADE" w:rsidP="009B2D02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UKUPAN REZULTAT</w:t>
            </w:r>
          </w:p>
        </w:tc>
        <w:tc>
          <w:tcPr>
            <w:tcW w:w="1510" w:type="dxa"/>
          </w:tcPr>
          <w:p w:rsidR="009B2D02" w:rsidRPr="009B2D02" w:rsidRDefault="00B44ADE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20.528.782,38</w:t>
            </w:r>
          </w:p>
        </w:tc>
        <w:tc>
          <w:tcPr>
            <w:tcW w:w="1510" w:type="dxa"/>
          </w:tcPr>
          <w:p w:rsidR="009B2D02" w:rsidRPr="009B2D02" w:rsidRDefault="00B44ADE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18.844.801,81</w:t>
            </w:r>
          </w:p>
        </w:tc>
        <w:tc>
          <w:tcPr>
            <w:tcW w:w="1510" w:type="dxa"/>
          </w:tcPr>
          <w:p w:rsidR="009B2D02" w:rsidRPr="009B2D02" w:rsidRDefault="00B44ADE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1.683.980,57</w:t>
            </w:r>
          </w:p>
        </w:tc>
        <w:tc>
          <w:tcPr>
            <w:tcW w:w="1510" w:type="dxa"/>
          </w:tcPr>
          <w:p w:rsidR="009B2D02" w:rsidRPr="009B2D02" w:rsidRDefault="00B44ADE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-397.858,02</w:t>
            </w:r>
          </w:p>
        </w:tc>
        <w:tc>
          <w:tcPr>
            <w:tcW w:w="1510" w:type="dxa"/>
          </w:tcPr>
          <w:p w:rsidR="009B2D02" w:rsidRPr="009B2D02" w:rsidRDefault="00B44ADE" w:rsidP="00B44ADE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1.286.122,55</w:t>
            </w:r>
          </w:p>
        </w:tc>
      </w:tr>
    </w:tbl>
    <w:p w:rsidR="009B2D02" w:rsidRDefault="009B2D02" w:rsidP="009B2D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2D02" w:rsidRDefault="009B2D02" w:rsidP="009B2D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46AE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6111 Porez i prirez na dohodak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i prirez na dohodak od nesamostalnog rada ostvaren je u u iznosu od 4.509.221,21 kuna i ostvarenje u odnosu na prošlu godinu veće je za 23,4%. Rast se bilježi vjerojatno zbog oporavka ekonomske situacije koja je bila narušena COVID pandemijom.</w:t>
      </w:r>
      <w:r w:rsidRPr="009746AE">
        <w:rPr>
          <w:rFonts w:ascii="Times New Roman" w:hAnsi="Times New Roman" w:cs="Times New Roman"/>
          <w:sz w:val="24"/>
          <w:szCs w:val="24"/>
        </w:rPr>
        <w:t>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6131 Stalni porezi na nepokretnu imovinu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kuće za odmor u iznosu od </w:t>
      </w:r>
      <w:r>
        <w:rPr>
          <w:rFonts w:ascii="Times New Roman" w:hAnsi="Times New Roman" w:cs="Times New Roman"/>
          <w:sz w:val="24"/>
          <w:szCs w:val="24"/>
        </w:rPr>
        <w:t>649.116,46 kuna i bilježe blagi pad u odnosu na izvršenje prošle godine. Indeks izvršenja je 85,2%. Razlog pada je jer se obračun poreza za tekuću godinu napravio u mjesecu studenom pa će dio naplate tih prihoda ostvariti u 2023. godini.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6134 Povremeni porezi na imovinu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promet nekretnina u iznosu od </w:t>
      </w:r>
      <w:r>
        <w:rPr>
          <w:rFonts w:ascii="Times New Roman" w:hAnsi="Times New Roman" w:cs="Times New Roman"/>
          <w:sz w:val="24"/>
          <w:szCs w:val="24"/>
        </w:rPr>
        <w:t xml:space="preserve">3.341.747,59 kuna. Porez je ostvaren u većem opsegu nego prošle godine radi </w:t>
      </w:r>
      <w:r w:rsidR="00047A87">
        <w:rPr>
          <w:rFonts w:ascii="Times New Roman" w:hAnsi="Times New Roman" w:cs="Times New Roman"/>
          <w:sz w:val="24"/>
          <w:szCs w:val="24"/>
        </w:rPr>
        <w:t>velike kupoprodaje nekretnina na našem području.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6142 Porez na promet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pića u iznosu od </w:t>
      </w:r>
      <w:r w:rsidR="00047A87">
        <w:rPr>
          <w:rFonts w:ascii="Times New Roman" w:hAnsi="Times New Roman" w:cs="Times New Roman"/>
          <w:sz w:val="24"/>
          <w:szCs w:val="24"/>
        </w:rPr>
        <w:t>77.317,95 kuna</w:t>
      </w:r>
      <w:r w:rsidRPr="009746AE">
        <w:rPr>
          <w:rFonts w:ascii="Times New Roman" w:hAnsi="Times New Roman" w:cs="Times New Roman"/>
          <w:sz w:val="24"/>
          <w:szCs w:val="24"/>
        </w:rPr>
        <w:t>, te je viši u odnosu na prethodnu godinu radi ranijeg početka turističke sezone i otvaranja sezonskih ugostiteljskih objekata.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6331 Tekuće pomoći proračunu iz drugih proračuna i izvanproračunskim korisnicima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osnovi odnose se u ovoj godini na sredstva – kompenzacijske mj</w:t>
      </w:r>
      <w:r w:rsidR="00047A87">
        <w:rPr>
          <w:rFonts w:ascii="Times New Roman" w:hAnsi="Times New Roman" w:cs="Times New Roman"/>
          <w:sz w:val="24"/>
          <w:szCs w:val="24"/>
        </w:rPr>
        <w:t>ere JLPRS iz državnog proračuna u iznosu od 2.642.333,95 kuna.</w:t>
      </w:r>
      <w:r w:rsidR="00047A87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6332 Kapitalne pomoći proračunu iz drugih proračuna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pomoć proračunu iz drugih proračuna i izvanproračunskih korisnika ostvarene su u iznosu od 100.000,00 kuna. Ta pomoć se odnosi na pomoć od Ministarstva prostornog uređenja, graditeljstva ui državne imovine za ogradni zid u groblju u Posedarju.</w:t>
      </w: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6342 Kapitalne pomoći od izvanproračunskih korisnika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prikazanih podataka vidljivo je da Općina u 2022. godini nije ostvarila prihode s te osnove. Prošlu godinu ostvareni su prihodi od 1.200.000,00 kuna a odnosilo se na pomoć od Hrvatskih </w:t>
      </w:r>
      <w:r>
        <w:rPr>
          <w:rFonts w:ascii="Times New Roman" w:hAnsi="Times New Roman" w:cs="Times New Roman"/>
          <w:sz w:val="24"/>
          <w:szCs w:val="24"/>
        </w:rPr>
        <w:lastRenderedPageBreak/>
        <w:t>voda za sufinanciranje potpornog zida uz plažu u Posedarju. U 2022. godini nisu nam odobrena sredstva s te osnove.</w:t>
      </w:r>
    </w:p>
    <w:p w:rsidR="00B44ADE" w:rsidRDefault="00B44ADE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4ADE" w:rsidRDefault="00B44ADE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ADE">
        <w:rPr>
          <w:rFonts w:ascii="Times New Roman" w:hAnsi="Times New Roman" w:cs="Times New Roman"/>
          <w:b/>
          <w:sz w:val="24"/>
          <w:szCs w:val="24"/>
        </w:rPr>
        <w:t>Šifra 6361 Tekuće pomoći proračunskim korisnicima drugih proračuna</w:t>
      </w:r>
    </w:p>
    <w:p w:rsidR="00B44ADE" w:rsidRPr="00334D82" w:rsidRDefault="00B44ADE" w:rsidP="00334D82">
      <w:pPr>
        <w:rPr>
          <w:b/>
        </w:rPr>
      </w:pPr>
      <w:r w:rsidRPr="00B44ADE">
        <w:rPr>
          <w:rFonts w:ascii="Times New Roman" w:hAnsi="Times New Roman" w:cs="Times New Roman"/>
          <w:sz w:val="24"/>
          <w:szCs w:val="24"/>
        </w:rPr>
        <w:t>Tekuće pomoći su ostvar</w:t>
      </w:r>
      <w:r w:rsidRPr="00B44ADE">
        <w:rPr>
          <w:rFonts w:ascii="Times New Roman" w:hAnsi="Times New Roman"/>
          <w:sz w:val="24"/>
          <w:szCs w:val="24"/>
        </w:rPr>
        <w:t>ene u iznosu od 21.480,00 kuna. Pomoći čine po</w:t>
      </w:r>
      <w:r w:rsidR="00334D82">
        <w:rPr>
          <w:rFonts w:ascii="Times New Roman" w:hAnsi="Times New Roman"/>
          <w:sz w:val="24"/>
          <w:szCs w:val="24"/>
        </w:rPr>
        <w:t>moći iz državnog proračuna za p</w:t>
      </w:r>
      <w:r w:rsidRPr="00B44ADE">
        <w:rPr>
          <w:rFonts w:ascii="Times New Roman" w:hAnsi="Times New Roman"/>
          <w:sz w:val="24"/>
          <w:szCs w:val="24"/>
        </w:rPr>
        <w:t>otrošeni materijal za potrebe male škole</w:t>
      </w:r>
      <w:r w:rsidR="00334D82">
        <w:rPr>
          <w:rFonts w:ascii="Times New Roman" w:hAnsi="Times New Roman"/>
          <w:sz w:val="24"/>
          <w:szCs w:val="24"/>
        </w:rPr>
        <w:t xml:space="preserve"> i 4.680,00 kuna pomoći od poračuna grada Benkovca za sufinanciranje boravka djece u vrtiću s njihovog područja.</w:t>
      </w:r>
      <w:r w:rsidRPr="00334D82">
        <w:rPr>
          <w:b/>
        </w:rPr>
        <w:t xml:space="preserve">                                                           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6413 Kamate na oročena sredstva i depozite po viđenju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se odnose na kamate na depozite po viđenju i viši su u odnosu na prethodnu godinu te iznose </w:t>
      </w:r>
      <w:r w:rsidR="00047A87">
        <w:rPr>
          <w:rFonts w:ascii="Times New Roman" w:hAnsi="Times New Roman" w:cs="Times New Roman"/>
          <w:sz w:val="24"/>
          <w:szCs w:val="24"/>
        </w:rPr>
        <w:t>39,73 kune.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6414 Prihodi od zateznih kamata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354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osnovi odnose se na sredstva od zateznih kamata obračunata u postupku prisilne naplate pot</w:t>
      </w:r>
      <w:r w:rsidR="00047A87">
        <w:rPr>
          <w:rFonts w:ascii="Times New Roman" w:hAnsi="Times New Roman" w:cs="Times New Roman"/>
          <w:sz w:val="24"/>
          <w:szCs w:val="24"/>
        </w:rPr>
        <w:t xml:space="preserve">raživanja za </w:t>
      </w:r>
      <w:r w:rsidR="00893354">
        <w:rPr>
          <w:rFonts w:ascii="Times New Roman" w:hAnsi="Times New Roman" w:cs="Times New Roman"/>
          <w:sz w:val="24"/>
          <w:szCs w:val="24"/>
        </w:rPr>
        <w:t>prihode te su ostvarene u iznosu od 7.537,27 kuna.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6421 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6421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Naknade za koncesije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sredstva od koncesija i koncesijskih odobrenja u iznosu od </w:t>
      </w:r>
      <w:r w:rsidR="00893354">
        <w:rPr>
          <w:rFonts w:ascii="Times New Roman" w:hAnsi="Times New Roman" w:cs="Times New Roman"/>
          <w:sz w:val="24"/>
          <w:szCs w:val="24"/>
        </w:rPr>
        <w:t>139.900,00 kuna i veće su u odnosu na 2021. godinu radi otplate dugovanja obveznika .</w:t>
      </w:r>
      <w:r w:rsidR="00893354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Šira 6422 Prihodi od zakupa i iznajmljivanja imovine</w:t>
      </w:r>
    </w:p>
    <w:p w:rsidR="00893354" w:rsidRPr="00893354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su ostvareni u iznosu od 174.894,11 kuna i ostvareni su u manjem opsegu nego prošle godine. Prošlu godinu su prihodi bili veći radi otplate ranihih obračunatih zakupa.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6423 Naknada za korištenje nefinancijske imovine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sredstva prihoda od spomeničke rente koji su ostvareni u iznosu od </w:t>
      </w:r>
      <w:r w:rsidR="00893354">
        <w:rPr>
          <w:rFonts w:ascii="Times New Roman" w:hAnsi="Times New Roman" w:cs="Times New Roman"/>
          <w:sz w:val="24"/>
          <w:szCs w:val="24"/>
        </w:rPr>
        <w:t>60,48 kuna.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54">
        <w:rPr>
          <w:rFonts w:ascii="Times New Roman" w:hAnsi="Times New Roman" w:cs="Times New Roman"/>
          <w:b/>
          <w:sz w:val="24"/>
          <w:szCs w:val="24"/>
        </w:rPr>
        <w:t xml:space="preserve">Šifra 6429 Ostali prihodi od nefianncijske </w:t>
      </w:r>
    </w:p>
    <w:p w:rsidR="00893354" w:rsidRPr="00893354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su u iznosu od 4.500,015 kuna. Ti prihodi se odnose na naknadu za legalizaciju bespravno izgrađenih objekata.</w:t>
      </w:r>
    </w:p>
    <w:p w:rsidR="00893354" w:rsidRP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6513 Ostale upravne pristojbe i naknade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893354">
        <w:rPr>
          <w:rFonts w:ascii="Times New Roman" w:hAnsi="Times New Roman" w:cs="Times New Roman"/>
          <w:sz w:val="24"/>
          <w:szCs w:val="24"/>
        </w:rPr>
        <w:t xml:space="preserve">499,94 kune </w:t>
      </w:r>
      <w:r w:rsidRPr="009746AE">
        <w:rPr>
          <w:rFonts w:ascii="Times New Roman" w:hAnsi="Times New Roman" w:cs="Times New Roman"/>
          <w:sz w:val="24"/>
          <w:szCs w:val="24"/>
        </w:rPr>
        <w:t>i odnose se na prihode od prodaje državnih biljega koja su ostvarena u nižem iznosu u odnosu na prethodnu godine.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6514 Ostale pristojbe i naknade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893354">
        <w:rPr>
          <w:rFonts w:ascii="Times New Roman" w:hAnsi="Times New Roman" w:cs="Times New Roman"/>
          <w:sz w:val="24"/>
          <w:szCs w:val="24"/>
        </w:rPr>
        <w:t>552.909,60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 i odnose se na sredstva turističke pristojbe i ostalih nespomenutih pristojbi i naknada te su ostvareni u znatno višem iznosu u odnosu na prethodnu godine zbog ra</w:t>
      </w:r>
      <w:r w:rsidR="00893354">
        <w:rPr>
          <w:rFonts w:ascii="Times New Roman" w:hAnsi="Times New Roman" w:cs="Times New Roman"/>
          <w:sz w:val="24"/>
          <w:szCs w:val="24"/>
        </w:rPr>
        <w:t>nijeg početka turističke sezone i bolje evidencije i naplativosti.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6522 Prihodi vodnog gospodarstva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 8 posto vodnog doprinosa naplaćenog na području Općine </w:t>
      </w:r>
      <w:r w:rsidR="00893354">
        <w:rPr>
          <w:rFonts w:ascii="Times New Roman" w:hAnsi="Times New Roman" w:cs="Times New Roman"/>
          <w:sz w:val="24"/>
          <w:szCs w:val="24"/>
        </w:rPr>
        <w:t>Posedarje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kojeg doznačavaju Hrvatske vode sukladno Zakonu o financiranju vodnog gospodarstva i iznosi </w:t>
      </w:r>
      <w:r w:rsidR="001978B7">
        <w:rPr>
          <w:rFonts w:ascii="Times New Roman" w:hAnsi="Times New Roman" w:cs="Times New Roman"/>
          <w:sz w:val="24"/>
          <w:szCs w:val="24"/>
        </w:rPr>
        <w:t xml:space="preserve">1.700,68 kuna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što je niže od odnosu na prethodnu godinu.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6526 Ostali nespomenuti prihodi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978B7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1978B7">
        <w:rPr>
          <w:rFonts w:ascii="Times New Roman" w:hAnsi="Times New Roman" w:cs="Times New Roman"/>
          <w:sz w:val="24"/>
          <w:szCs w:val="24"/>
        </w:rPr>
        <w:t xml:space="preserve">iznosu od </w:t>
      </w:r>
      <w:r w:rsidR="00334D82">
        <w:rPr>
          <w:rFonts w:ascii="Times New Roman" w:hAnsi="Times New Roman" w:cs="Times New Roman"/>
          <w:sz w:val="24"/>
          <w:szCs w:val="24"/>
        </w:rPr>
        <w:t xml:space="preserve">1.275.116,85 kuna. Od toga iznosa prihodi proračunskog korisnika Dječjeg vrtića Cvrčak Posedarje iznose 455.000,05 kuna sufinanciranje roditelja za troškove boravka djece u vrtiću. Ostatak prihoda </w:t>
      </w:r>
      <w:r w:rsidR="001978B7">
        <w:rPr>
          <w:rFonts w:ascii="Times New Roman" w:hAnsi="Times New Roman" w:cs="Times New Roman"/>
          <w:sz w:val="24"/>
          <w:szCs w:val="24"/>
        </w:rPr>
        <w:t>se odnose na sredstva od 6% naplaćene vode koja se koriste za poboljšanje vodovodne infrastrujture na području Općine Poseadrje i prihoda od sufinanciranje potroška vode s hidranata s kojih se opskrbljuju mještani koji nisu priključeni na vodovodnu mrežu.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6531 Komunalni doprinosi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978B7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1978B7">
        <w:rPr>
          <w:rFonts w:ascii="Times New Roman" w:hAnsi="Times New Roman" w:cs="Times New Roman"/>
          <w:sz w:val="24"/>
          <w:szCs w:val="24"/>
        </w:rPr>
        <w:t>nižem iznosu u odnosu na 2021. goodinu i ostvareni su u iznosu od 242.207,87 kuna.</w:t>
      </w:r>
    </w:p>
    <w:p w:rsidR="00246309" w:rsidRPr="009746AE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6532 Komunalna naknada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osnovni ostvareni su u </w:t>
      </w:r>
      <w:r w:rsidR="001978B7">
        <w:rPr>
          <w:rFonts w:ascii="Times New Roman" w:hAnsi="Times New Roman" w:cs="Times New Roman"/>
          <w:sz w:val="24"/>
          <w:szCs w:val="24"/>
        </w:rPr>
        <w:t>nižem iznosu u odnosu na izvršenje prethodne godine. Ostvareni su u iznosu od 1.362.993,78 kuna.</w:t>
      </w:r>
      <w:r w:rsidR="001978B7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6615 Prihod od pruženih usluga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osnovi odnose se na sredstva naplate od Hrvatskih voda u iznosu od 10 posto uplaćene naknade za uređenje voda te su ostvarena u višem iznosu u odnosu na prethodnu godinu jer je krajem prosinca prošle godine fakturiran račun koji je naplaćen u siječnju ove godine</w:t>
      </w:r>
      <w:r w:rsidR="001978B7">
        <w:rPr>
          <w:rFonts w:ascii="Times New Roman" w:hAnsi="Times New Roman" w:cs="Times New Roman"/>
          <w:sz w:val="24"/>
          <w:szCs w:val="24"/>
        </w:rPr>
        <w:t xml:space="preserve"> te iznose 74.071,07 kuna.</w:t>
      </w:r>
    </w:p>
    <w:p w:rsidR="00246309" w:rsidRPr="009746AE" w:rsidRDefault="00246309" w:rsidP="002463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68</w:t>
      </w:r>
      <w:r w:rsidR="001978B7">
        <w:rPr>
          <w:rFonts w:ascii="Times New Roman" w:hAnsi="Times New Roman" w:cs="Times New Roman"/>
          <w:b/>
          <w:sz w:val="24"/>
          <w:szCs w:val="24"/>
        </w:rPr>
        <w:t>19 Ostale kazne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komunalni pogon Općine Posedarje vrši u ljetnom periodu naplatu parkirnih mjesta. Ostale kazne ostvarene su u iznosu od 11.864,06 kuna i donse se na kazne za nepravilna parkiranja.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B7" w:rsidRDefault="001978B7" w:rsidP="001978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8B7" w:rsidRPr="009746AE" w:rsidRDefault="001978B7" w:rsidP="001978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psolovanja u 2022. godini iznose </w:t>
      </w:r>
      <w:r w:rsidR="00334D82">
        <w:rPr>
          <w:rFonts w:ascii="Times New Roman" w:hAnsi="Times New Roman" w:cs="Times New Roman"/>
          <w:sz w:val="24"/>
          <w:szCs w:val="24"/>
        </w:rPr>
        <w:t xml:space="preserve">12.204.315,45 kuna od čega rashodi poslovanja proračunskog korisnika iznose 1.970.853,55 kuna. </w:t>
      </w:r>
    </w:p>
    <w:p w:rsidR="00334D82" w:rsidRDefault="00334D82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1FF">
        <w:rPr>
          <w:rFonts w:ascii="Times New Roman" w:hAnsi="Times New Roman" w:cs="Times New Roman"/>
          <w:b/>
          <w:sz w:val="24"/>
          <w:szCs w:val="24"/>
        </w:rPr>
        <w:t>Šifra 3111 Plaće za redovni rad</w:t>
      </w: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Plaće su ostvarene u iznosu od </w:t>
      </w:r>
      <w:r w:rsidR="00334D82">
        <w:rPr>
          <w:rFonts w:ascii="Times New Roman" w:hAnsi="Times New Roman" w:cs="Times New Roman"/>
          <w:sz w:val="24"/>
          <w:szCs w:val="24"/>
        </w:rPr>
        <w:t>2.717.562,70</w:t>
      </w:r>
      <w:r>
        <w:rPr>
          <w:rFonts w:ascii="Times New Roman" w:hAnsi="Times New Roman" w:cs="Times New Roman"/>
          <w:sz w:val="24"/>
          <w:szCs w:val="24"/>
        </w:rPr>
        <w:t xml:space="preserve"> i ostvarene su u granicama prošlo</w:t>
      </w:r>
      <w:r w:rsidR="00334D8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odišnjih.</w:t>
      </w:r>
      <w:r w:rsidR="00334D82">
        <w:rPr>
          <w:rFonts w:ascii="Times New Roman" w:hAnsi="Times New Roman" w:cs="Times New Roman"/>
          <w:sz w:val="24"/>
          <w:szCs w:val="24"/>
        </w:rPr>
        <w:t xml:space="preserve"> Rashodi proračunskog korisnika iznose 1.179.574,19 </w:t>
      </w:r>
      <w:r w:rsidR="00722AEC">
        <w:rPr>
          <w:rFonts w:ascii="Times New Roman" w:hAnsi="Times New Roman" w:cs="Times New Roman"/>
          <w:sz w:val="24"/>
          <w:szCs w:val="24"/>
        </w:rPr>
        <w:t>kuna.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>Ši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6B5265">
        <w:rPr>
          <w:rFonts w:ascii="Times New Roman" w:hAnsi="Times New Roman" w:cs="Times New Roman"/>
          <w:b/>
          <w:sz w:val="24"/>
          <w:szCs w:val="24"/>
        </w:rPr>
        <w:t>ra 312 Ostali rashodi za zaposlene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5265">
        <w:rPr>
          <w:rFonts w:ascii="Times New Roman" w:hAnsi="Times New Roman" w:cs="Times New Roman"/>
          <w:sz w:val="24"/>
          <w:szCs w:val="24"/>
        </w:rPr>
        <w:t xml:space="preserve">Rashodi iznose </w:t>
      </w:r>
      <w:r w:rsidR="00722AEC">
        <w:rPr>
          <w:rFonts w:ascii="Times New Roman" w:hAnsi="Times New Roman" w:cs="Times New Roman"/>
          <w:sz w:val="24"/>
          <w:szCs w:val="24"/>
        </w:rPr>
        <w:t>201.210,71 kuna</w:t>
      </w:r>
      <w:r w:rsidRPr="006B5265">
        <w:rPr>
          <w:rFonts w:ascii="Times New Roman" w:hAnsi="Times New Roman" w:cs="Times New Roman"/>
          <w:sz w:val="24"/>
          <w:szCs w:val="24"/>
        </w:rPr>
        <w:t xml:space="preserve"> i sotvareni su u većem opsegu nego 2021. godine jer je za sve zaposlenika isplaćena paušla naknada za podmirivanje troškova prehrane.</w:t>
      </w:r>
      <w:r w:rsidR="00722AEC">
        <w:rPr>
          <w:rFonts w:ascii="Times New Roman" w:hAnsi="Times New Roman" w:cs="Times New Roman"/>
          <w:sz w:val="24"/>
          <w:szCs w:val="24"/>
        </w:rPr>
        <w:t xml:space="preserve"> Rashodi proračunskog korisnika iznose 51.551,00 kuna.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 xml:space="preserve">Šifra 3132 Doprinosi za obvezno zdravstveno osiguranje </w:t>
      </w:r>
    </w:p>
    <w:p w:rsidR="006B5265" w:rsidRPr="00AB6CD0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6CD0">
        <w:rPr>
          <w:rFonts w:ascii="Times New Roman" w:hAnsi="Times New Roman" w:cs="Times New Roman"/>
          <w:sz w:val="24"/>
          <w:szCs w:val="24"/>
        </w:rPr>
        <w:lastRenderedPageBreak/>
        <w:t xml:space="preserve">Rashodi su ostvareni u iznosu od </w:t>
      </w:r>
      <w:r w:rsidR="00722AEC">
        <w:rPr>
          <w:rFonts w:ascii="Times New Roman" w:hAnsi="Times New Roman" w:cs="Times New Roman"/>
          <w:sz w:val="24"/>
          <w:szCs w:val="24"/>
        </w:rPr>
        <w:t>448.400,99</w:t>
      </w:r>
      <w:r w:rsidRPr="00AB6CD0">
        <w:rPr>
          <w:rFonts w:ascii="Times New Roman" w:hAnsi="Times New Roman" w:cs="Times New Roman"/>
          <w:sz w:val="24"/>
          <w:szCs w:val="24"/>
        </w:rPr>
        <w:t xml:space="preserve"> kuna i ostvareni su u granicama prošlogodišnjih.</w:t>
      </w:r>
      <w:r w:rsidR="00722AEC">
        <w:rPr>
          <w:rFonts w:ascii="Times New Roman" w:hAnsi="Times New Roman" w:cs="Times New Roman"/>
          <w:sz w:val="24"/>
          <w:szCs w:val="24"/>
        </w:rPr>
        <w:t xml:space="preserve"> Rashodin proračunskog korisnika iznose 195.109,03 kuna.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3211 Službena putovanja 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viši u odnosu na prethodnu godinu zbog većeg iznosa troškova </w:t>
      </w:r>
      <w:r w:rsidR="00AB6CD0">
        <w:rPr>
          <w:rFonts w:ascii="Times New Roman" w:hAnsi="Times New Roman" w:cs="Times New Roman"/>
          <w:sz w:val="24"/>
          <w:szCs w:val="24"/>
        </w:rPr>
        <w:t xml:space="preserve"> za službena putovanja.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722AEC">
        <w:rPr>
          <w:rFonts w:ascii="Times New Roman" w:hAnsi="Times New Roman" w:cs="Times New Roman"/>
          <w:sz w:val="24"/>
          <w:szCs w:val="24"/>
        </w:rPr>
        <w:t>Dječji vrtić je ostvario rashode po navedenoj šifri u iznosu od 2.768,50 kuna.</w:t>
      </w: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D0">
        <w:rPr>
          <w:rFonts w:ascii="Times New Roman" w:hAnsi="Times New Roman" w:cs="Times New Roman"/>
          <w:b/>
          <w:sz w:val="24"/>
          <w:szCs w:val="24"/>
        </w:rPr>
        <w:t>Šifra 3212 Naknada za prijevoz, za rad i odvojeni život</w:t>
      </w:r>
    </w:p>
    <w:p w:rsidR="00AB6CD0" w:rsidRPr="00AB6CD0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722AEC">
        <w:rPr>
          <w:rFonts w:ascii="Times New Roman" w:hAnsi="Times New Roman" w:cs="Times New Roman"/>
          <w:sz w:val="24"/>
          <w:szCs w:val="24"/>
        </w:rPr>
        <w:t>74.623,46</w:t>
      </w:r>
      <w:r>
        <w:rPr>
          <w:rFonts w:ascii="Times New Roman" w:hAnsi="Times New Roman" w:cs="Times New Roman"/>
          <w:sz w:val="24"/>
          <w:szCs w:val="24"/>
        </w:rPr>
        <w:t xml:space="preserve"> kuna. Troškovi su ostvareni u nešto većem opsegu nego prošle godine radi poskupljenja karata za javni prijevoz.</w:t>
      </w:r>
      <w:r w:rsidR="00722AEC">
        <w:rPr>
          <w:rFonts w:ascii="Times New Roman" w:hAnsi="Times New Roman" w:cs="Times New Roman"/>
          <w:sz w:val="24"/>
          <w:szCs w:val="24"/>
        </w:rPr>
        <w:t xml:space="preserve"> Troškovi vrtića kao proračunskog korisnika iznose 48.930,50 kuna.</w:t>
      </w:r>
    </w:p>
    <w:p w:rsidR="00AB6CD0" w:rsidRPr="009746AE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3213 Stručno usavršavanje zaposlenika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viši u odnosu na prethodnu godinu zbog pohađanja većeg broja seminara i edukacija, odnosno stručnog usavršavanja.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3221 Uredski materijal i ostali materijalni rashodi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AB6CD0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722AEC">
        <w:rPr>
          <w:rFonts w:ascii="Times New Roman" w:hAnsi="Times New Roman" w:cs="Times New Roman"/>
          <w:sz w:val="24"/>
          <w:szCs w:val="24"/>
        </w:rPr>
        <w:t>228.789,22</w:t>
      </w:r>
      <w:r w:rsidR="00AB6CD0">
        <w:rPr>
          <w:rFonts w:ascii="Times New Roman" w:hAnsi="Times New Roman" w:cs="Times New Roman"/>
          <w:sz w:val="24"/>
          <w:szCs w:val="24"/>
        </w:rPr>
        <w:t xml:space="preserve"> kune i viši su u odnosu na izvršenje prošle godine radi poskupljenja uredskog materijala. </w:t>
      </w:r>
      <w:r w:rsidR="00722AEC">
        <w:rPr>
          <w:rFonts w:ascii="Times New Roman" w:hAnsi="Times New Roman" w:cs="Times New Roman"/>
          <w:sz w:val="24"/>
          <w:szCs w:val="24"/>
        </w:rPr>
        <w:t>Tropkovi vrtića iznose 83.000,00 kuna.</w:t>
      </w: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3223 Energija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prethodnu godine zbog velikog poskuplj</w:t>
      </w:r>
      <w:r w:rsidR="00AB6CD0">
        <w:rPr>
          <w:rFonts w:ascii="Times New Roman" w:hAnsi="Times New Roman" w:cs="Times New Roman"/>
          <w:sz w:val="24"/>
          <w:szCs w:val="24"/>
        </w:rPr>
        <w:t xml:space="preserve">enja cijene električne energije i ostvareni su u iznosu od </w:t>
      </w:r>
      <w:r w:rsidR="00722AEC">
        <w:rPr>
          <w:rFonts w:ascii="Times New Roman" w:hAnsi="Times New Roman" w:cs="Times New Roman"/>
          <w:sz w:val="24"/>
          <w:szCs w:val="24"/>
        </w:rPr>
        <w:t>1.184.512,15 kuna od čega na vrtić otpada iznos od 100.000,00 kuna.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3225 Sitni inventar i auto gume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ostvareni su u iznosu od </w:t>
      </w:r>
      <w:r w:rsidR="0017236F">
        <w:rPr>
          <w:rFonts w:ascii="Times New Roman" w:hAnsi="Times New Roman" w:cs="Times New Roman"/>
          <w:sz w:val="24"/>
          <w:szCs w:val="24"/>
        </w:rPr>
        <w:t xml:space="preserve">25.093,48 kuna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radi kupnje zimskih guma za službeni automobil, dok u prethodnoj godini nije bilo ovih troškova jer nije postojala potreba. </w:t>
      </w:r>
      <w:r w:rsidR="00722AEC">
        <w:rPr>
          <w:rFonts w:ascii="Times New Roman" w:hAnsi="Times New Roman" w:cs="Times New Roman"/>
          <w:sz w:val="24"/>
          <w:szCs w:val="24"/>
        </w:rPr>
        <w:t>Dječji vrtić Cvrčak nije ostvario rashode po navedenoj šifri.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>Šifra 3227 Službena, radna i zaštitna odjeća i obuća</w:t>
      </w:r>
    </w:p>
    <w:p w:rsidR="0017236F" w:rsidRP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722AEC">
        <w:rPr>
          <w:rFonts w:ascii="Times New Roman" w:hAnsi="Times New Roman" w:cs="Times New Roman"/>
          <w:sz w:val="24"/>
          <w:szCs w:val="24"/>
        </w:rPr>
        <w:t>21.047,45</w:t>
      </w:r>
      <w:r>
        <w:rPr>
          <w:rFonts w:ascii="Times New Roman" w:hAnsi="Times New Roman" w:cs="Times New Roman"/>
          <w:sz w:val="24"/>
          <w:szCs w:val="24"/>
        </w:rPr>
        <w:t xml:space="preserve"> kuna i donse se za nabavku odjeće i obuće za djelatn</w:t>
      </w:r>
      <w:r w:rsidR="00722AEC">
        <w:rPr>
          <w:rFonts w:ascii="Times New Roman" w:hAnsi="Times New Roman" w:cs="Times New Roman"/>
          <w:sz w:val="24"/>
          <w:szCs w:val="24"/>
        </w:rPr>
        <w:t>ike vlastitog komunalnog pogona a  troškovi vrtića iznose 6.505,55 kuna za zaštitu odjeću zaposlenica u vrtiću.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3233 Usluge promidžbe i informiranja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6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ostvareni su </w:t>
      </w:r>
      <w:r w:rsidR="0017236F">
        <w:rPr>
          <w:rFonts w:ascii="Times New Roman" w:hAnsi="Times New Roman" w:cs="Times New Roman"/>
          <w:sz w:val="24"/>
          <w:szCs w:val="24"/>
        </w:rPr>
        <w:t xml:space="preserve"> u iznosu od 92.422,38 kuna i indeks izvršenja u odnosu na prošlu godinu je 136,1%. Usluge su izvršene u većem iznosu radi porasta potreba za objave natječaja i oglasa.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17236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 xml:space="preserve">Šifra 3235 Zakupnina i najamnina 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</w:t>
      </w:r>
      <w:r w:rsidR="00722AEC">
        <w:rPr>
          <w:rFonts w:ascii="Times New Roman" w:hAnsi="Times New Roman" w:cs="Times New Roman"/>
          <w:sz w:val="24"/>
          <w:szCs w:val="24"/>
        </w:rPr>
        <w:t>148.636,88</w:t>
      </w:r>
      <w:r>
        <w:rPr>
          <w:rFonts w:ascii="Times New Roman" w:hAnsi="Times New Roman" w:cs="Times New Roman"/>
          <w:sz w:val="24"/>
          <w:szCs w:val="24"/>
        </w:rPr>
        <w:t xml:space="preserve"> kuna. Usluge su </w:t>
      </w:r>
      <w:r w:rsidR="00B001C2">
        <w:rPr>
          <w:rFonts w:ascii="Times New Roman" w:hAnsi="Times New Roman" w:cs="Times New Roman"/>
          <w:sz w:val="24"/>
          <w:szCs w:val="24"/>
        </w:rPr>
        <w:t>izvršene u većem opsegu nego 2021. godine radi najma opreme u turističkoj sezoni.</w:t>
      </w:r>
      <w:r w:rsidR="00FE1421">
        <w:rPr>
          <w:rFonts w:ascii="Times New Roman" w:hAnsi="Times New Roman" w:cs="Times New Roman"/>
          <w:sz w:val="24"/>
          <w:szCs w:val="24"/>
        </w:rPr>
        <w:t>Troškovi vrtića iznose 3.450,00 kuna.</w:t>
      </w: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1C2">
        <w:rPr>
          <w:rFonts w:ascii="Times New Roman" w:hAnsi="Times New Roman" w:cs="Times New Roman"/>
          <w:b/>
          <w:sz w:val="24"/>
          <w:szCs w:val="24"/>
        </w:rPr>
        <w:t>Šifra 3236 Zdravstvene i veterinarske usluge</w:t>
      </w:r>
    </w:p>
    <w:p w:rsidR="00B001C2" w:rsidRPr="00B001C2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su ostvareni u većem opsegu nego 2021. godine radi rashoda za zbrinjavanje pasa lutalica.</w:t>
      </w:r>
    </w:p>
    <w:p w:rsidR="0017236F" w:rsidRP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3238 Računalne usluge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prethodnu godinue zbog višeg iznosa mjesečnog održavanja programskih rješenja, te radi usklađenja programskih rješenja sa zakonskim promjenama vezano za ure</w:t>
      </w:r>
      <w:r w:rsidR="00B001C2">
        <w:rPr>
          <w:rFonts w:ascii="Times New Roman" w:hAnsi="Times New Roman" w:cs="Times New Roman"/>
          <w:sz w:val="24"/>
          <w:szCs w:val="24"/>
        </w:rPr>
        <w:t>dsko poslovanje i uvođenje eura te za računalno rješenje digitilizacije poslovnih procesa.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3239 Ostale usluge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izvršeni su u iznosu od </w:t>
      </w:r>
      <w:r w:rsidR="00FE1421">
        <w:rPr>
          <w:rFonts w:ascii="Times New Roman" w:hAnsi="Times New Roman" w:cs="Times New Roman"/>
          <w:sz w:val="24"/>
          <w:szCs w:val="24"/>
        </w:rPr>
        <w:t>449.583,80</w:t>
      </w:r>
      <w:r>
        <w:rPr>
          <w:rFonts w:ascii="Times New Roman" w:hAnsi="Times New Roman" w:cs="Times New Roman"/>
          <w:sz w:val="24"/>
          <w:szCs w:val="24"/>
        </w:rPr>
        <w:t xml:space="preserve"> kuna i izvršeni su u znatno većem opsegu nego 2021. godine. Razlog su troškovi vezani uz razna događanja tijekom turističke sezonekao što je nastup raznih izvođača.</w:t>
      </w:r>
      <w:r w:rsidR="006801FF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3291 Naknade za rad predstavničkih i izvršnih tijela, povjerenstava i slično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su niži u odnosu na prethodnu godinu s obzirom da su nakon lokalnih izbora smanjenje naknade za članove predstavničkih tijela, te više nemamo zamjenika općinskog načelnika te samim time ni naknade za istog.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3293 Reprezentacija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B00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znatno su viši u odnosu na prethodnu godinu zbog </w:t>
      </w:r>
      <w:r w:rsidR="00B001C2">
        <w:rPr>
          <w:rFonts w:ascii="Times New Roman" w:hAnsi="Times New Roman" w:cs="Times New Roman"/>
          <w:sz w:val="24"/>
          <w:szCs w:val="24"/>
        </w:rPr>
        <w:t>ukidanja COVID mjera , pa su rasli trškovi s osnove reprezentacije za razna turistička događanja.</w:t>
      </w:r>
      <w:r w:rsidR="00B001C2"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3295 Pristojbe i naknade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stavci ostvareni su ostvareni u </w:t>
      </w:r>
      <w:r w:rsidR="00B001C2">
        <w:rPr>
          <w:rFonts w:ascii="Times New Roman" w:hAnsi="Times New Roman" w:cs="Times New Roman"/>
          <w:sz w:val="24"/>
          <w:szCs w:val="24"/>
        </w:rPr>
        <w:t xml:space="preserve">većem iznosu nego 2021.g. radi troškova sudskih pristojbi i naknada. Rashodi su ostvareni u iznosu od </w:t>
      </w:r>
      <w:r w:rsidR="00FE1421">
        <w:rPr>
          <w:rFonts w:ascii="Times New Roman" w:hAnsi="Times New Roman" w:cs="Times New Roman"/>
          <w:sz w:val="24"/>
          <w:szCs w:val="24"/>
        </w:rPr>
        <w:t>37.631,29</w:t>
      </w:r>
      <w:r w:rsidR="00B001C2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Pr="009746AE" w:rsidRDefault="006801FF" w:rsidP="00CF3E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3299 </w:t>
      </w:r>
      <w:r w:rsidR="00CF3E19" w:rsidRPr="009746AE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</w:p>
    <w:p w:rsidR="00B001C2" w:rsidRP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E19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FE1421">
        <w:rPr>
          <w:rFonts w:ascii="Times New Roman" w:hAnsi="Times New Roman" w:cs="Times New Roman"/>
          <w:sz w:val="24"/>
          <w:szCs w:val="24"/>
        </w:rPr>
        <w:t>117.791,69</w:t>
      </w:r>
      <w:r w:rsidRPr="00CF3E19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 i ostvareni su u većem opsegu nego 2021.g. radi povećanja naknade za zbrinjavanje otpada.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343</w:t>
      </w:r>
      <w:r w:rsidR="00CF3E19">
        <w:rPr>
          <w:rFonts w:ascii="Times New Roman" w:hAnsi="Times New Roman" w:cs="Times New Roman"/>
          <w:b/>
          <w:sz w:val="24"/>
          <w:szCs w:val="24"/>
        </w:rPr>
        <w:t>1 Bankarske usluge i usluge paltnog prometa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troškovi iznose </w:t>
      </w:r>
      <w:r w:rsidR="00FE1421">
        <w:rPr>
          <w:rFonts w:ascii="Times New Roman" w:hAnsi="Times New Roman" w:cs="Times New Roman"/>
          <w:sz w:val="24"/>
          <w:szCs w:val="24"/>
        </w:rPr>
        <w:t>33.114,54</w:t>
      </w:r>
      <w:r>
        <w:rPr>
          <w:rFonts w:ascii="Times New Roman" w:hAnsi="Times New Roman" w:cs="Times New Roman"/>
          <w:sz w:val="24"/>
          <w:szCs w:val="24"/>
        </w:rPr>
        <w:t xml:space="preserve"> kune i veći su u odnosu na 2021.g. radi povećanja iznsoa troškova platnog prometa i ostalih bankarskih usluga.</w:t>
      </w:r>
      <w:r w:rsidR="00FE1421">
        <w:rPr>
          <w:rFonts w:ascii="Times New Roman" w:hAnsi="Times New Roman" w:cs="Times New Roman"/>
          <w:sz w:val="24"/>
          <w:szCs w:val="24"/>
        </w:rPr>
        <w:t xml:space="preserve"> U 2022. godini troškovi vrtića iznose 4.731,71 kune.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3433 Zatezne kamate</w:t>
      </w:r>
    </w:p>
    <w:p w:rsidR="006801FF" w:rsidRP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E19">
        <w:rPr>
          <w:rFonts w:ascii="Times New Roman" w:hAnsi="Times New Roman" w:cs="Times New Roman"/>
          <w:sz w:val="24"/>
          <w:szCs w:val="24"/>
        </w:rPr>
        <w:t>Troškovi su manji nego 2021. godine i iznose 12,676,20 kuna radi manjeg opsega obračunatih zateznih kamata.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3434 Ostali nespomenuti financijskih rashodi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prošlu godinu radi plaćenih sredstava naknade Poreznoj upravi od 5% s obzirom na naplaćene više iznose poreza u odnosu na prethodnu godinu.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3661 Tekuće pomoći proračunskim korisnicima drugih proračuna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pomoći iznose 9.600,00 kuna a odnse se na pomoći dječjem vrtiću Latica za boravak djece  s posebnim potrebama s područja Općine Posedarje 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3662 Kapitalna pomoć proračunskim korisnicima drugih proračuna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se na kapitalnu pomoć OŠ Braća Ribar iz Posedarja za kupnju kompjuterske opreme.</w:t>
      </w:r>
    </w:p>
    <w:p w:rsidR="00E25C48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3721 Naknade građanima i kućanstvu u novcu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stavci ostvareni su u nižem iznosu u odnosu na isto razdoblje prethodne godine</w:t>
      </w:r>
      <w:r w:rsidR="00E25C48">
        <w:rPr>
          <w:rFonts w:ascii="Times New Roman" w:hAnsi="Times New Roman" w:cs="Times New Roman"/>
          <w:sz w:val="24"/>
          <w:szCs w:val="24"/>
        </w:rPr>
        <w:t>. Ostvareni su u iznosu od 227.100,00 kuna.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48" w:rsidRPr="009746AE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3722 Naknade građanima i kućanstvima u naravi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stavci ostvareni su u višem iznosu u odnosu na isto razdoblje prethodne godine zbog većeg iznosa sufinanciranja prijevoza učenika srednjih škola s obzirom na veći broj učenika u ovoj godini</w:t>
      </w:r>
      <w:r w:rsidR="00E25C48">
        <w:rPr>
          <w:rFonts w:ascii="Times New Roman" w:hAnsi="Times New Roman" w:cs="Times New Roman"/>
          <w:sz w:val="24"/>
          <w:szCs w:val="24"/>
        </w:rPr>
        <w:t xml:space="preserve"> te isplaćenih troškova ua sufinanciranje kupnje radnih bilježnica za učenike OŠ Braća Ribar Posedarje.</w:t>
      </w:r>
    </w:p>
    <w:p w:rsidR="00E25C48" w:rsidRPr="009746AE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38</w:t>
      </w:r>
      <w:r w:rsidR="00E25C48">
        <w:rPr>
          <w:rFonts w:ascii="Times New Roman" w:hAnsi="Times New Roman" w:cs="Times New Roman"/>
          <w:b/>
          <w:sz w:val="24"/>
          <w:szCs w:val="24"/>
        </w:rPr>
        <w:t>11 Tekuće donacije u novcu</w:t>
      </w:r>
    </w:p>
    <w:p w:rsidR="00E25C48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>T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ekuće donacije u novcu ostvarene su u iznsou od 1.571.386,02 kune a odnose se na tekuće pomoći socijalno ugroženim građanima, tekuće donacije u novcu udrugama koje se financiraju </w:t>
      </w:r>
      <w:r>
        <w:rPr>
          <w:rFonts w:ascii="Times New Roman" w:hAnsi="Times New Roman" w:cs="Times New Roman"/>
          <w:sz w:val="24"/>
          <w:szCs w:val="24"/>
        </w:rPr>
        <w:t xml:space="preserve"> iz proračuna općine na temelju raspisanog natječaja za financiranje udruga.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05C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05C" w:rsidRDefault="0000305C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05C">
        <w:rPr>
          <w:rFonts w:ascii="Times New Roman" w:hAnsi="Times New Roman" w:cs="Times New Roman"/>
          <w:b/>
          <w:sz w:val="24"/>
          <w:szCs w:val="24"/>
        </w:rPr>
        <w:t>Šifra X001 Višak prihoda p</w:t>
      </w:r>
      <w:r>
        <w:rPr>
          <w:rFonts w:ascii="Times New Roman" w:hAnsi="Times New Roman" w:cs="Times New Roman"/>
          <w:b/>
          <w:sz w:val="24"/>
          <w:szCs w:val="24"/>
        </w:rPr>
        <w:t>oslovanja</w:t>
      </w:r>
    </w:p>
    <w:p w:rsidR="0000305C" w:rsidRPr="0000305C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 xml:space="preserve">U izvještajnom razdoblju ostvaren je višak prihoda nad rashodima u iznosu od </w:t>
      </w:r>
      <w:r w:rsidR="00FE1421">
        <w:rPr>
          <w:rFonts w:ascii="Times New Roman" w:hAnsi="Times New Roman" w:cs="Times New Roman"/>
          <w:sz w:val="24"/>
          <w:szCs w:val="24"/>
        </w:rPr>
        <w:t>3.999.810,74</w:t>
      </w:r>
      <w:r w:rsidRPr="0000305C">
        <w:rPr>
          <w:rFonts w:ascii="Times New Roman" w:hAnsi="Times New Roman" w:cs="Times New Roman"/>
          <w:sz w:val="24"/>
          <w:szCs w:val="24"/>
        </w:rPr>
        <w:t xml:space="preserve"> kune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C2A" w:rsidRPr="009746AE" w:rsidRDefault="008D0C2A" w:rsidP="008D0C2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:rsidR="008D0C2A" w:rsidRPr="009746AE" w:rsidRDefault="008D0C2A" w:rsidP="008D0C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8D0C2A" w:rsidRPr="009746AE" w:rsidTr="00A80B41">
        <w:tc>
          <w:tcPr>
            <w:tcW w:w="3968" w:type="dxa"/>
            <w:shd w:val="clear" w:color="auto" w:fill="D9D9D9" w:themeFill="background1" w:themeFillShade="D9"/>
          </w:tcPr>
          <w:p w:rsidR="008D0C2A" w:rsidRPr="009746AE" w:rsidRDefault="008D0C2A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D0C2A" w:rsidRPr="009746AE" w:rsidRDefault="008D0C2A" w:rsidP="00A80B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D0C2A" w:rsidRPr="009746AE" w:rsidRDefault="008D0C2A" w:rsidP="00A80B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8D0C2A" w:rsidRPr="009746AE" w:rsidTr="00A80B41">
        <w:tc>
          <w:tcPr>
            <w:tcW w:w="3968" w:type="dxa"/>
          </w:tcPr>
          <w:p w:rsidR="008D0C2A" w:rsidRPr="009746AE" w:rsidRDefault="008D0C2A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8D0C2A" w:rsidRPr="009746AE" w:rsidRDefault="008D0C2A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1.220.194,00</w:t>
            </w:r>
          </w:p>
        </w:tc>
        <w:tc>
          <w:tcPr>
            <w:tcW w:w="2266" w:type="dxa"/>
          </w:tcPr>
          <w:p w:rsidR="008D0C2A" w:rsidRPr="009746AE" w:rsidRDefault="008D0C2A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4.324.656,19</w:t>
            </w:r>
          </w:p>
        </w:tc>
      </w:tr>
      <w:tr w:rsidR="008D0C2A" w:rsidRPr="009746AE" w:rsidTr="00A80B41">
        <w:tc>
          <w:tcPr>
            <w:tcW w:w="3968" w:type="dxa"/>
          </w:tcPr>
          <w:p w:rsidR="008D0C2A" w:rsidRPr="009746AE" w:rsidRDefault="008D0C2A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8D0C2A" w:rsidRPr="009746AE" w:rsidRDefault="008D0C2A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1.220.194,00</w:t>
            </w:r>
          </w:p>
        </w:tc>
        <w:tc>
          <w:tcPr>
            <w:tcW w:w="2266" w:type="dxa"/>
          </w:tcPr>
          <w:p w:rsidR="008D0C2A" w:rsidRPr="009746AE" w:rsidRDefault="008D0C2A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4.324.656,19</w:t>
            </w:r>
          </w:p>
        </w:tc>
      </w:tr>
    </w:tbl>
    <w:p w:rsidR="008D0C2A" w:rsidRDefault="008D0C2A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Default="00E920B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prihodi od prodaje neproizvedene dugotrajne imovine u 2022. godini iznose 4.324.656,19 kuna. Prihodi se odnose na prodaju parcela u Poslovno servisnoj zoni Posedarje/Slivnica i pordaje građevisnkih parcela na području općine.</w:t>
      </w:r>
    </w:p>
    <w:p w:rsidR="00E920B0" w:rsidRDefault="00E920B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E920B0" w:rsidRPr="009746AE" w:rsidTr="00A80B41">
        <w:tc>
          <w:tcPr>
            <w:tcW w:w="3968" w:type="dxa"/>
            <w:shd w:val="clear" w:color="auto" w:fill="D9D9D9" w:themeFill="background1" w:themeFillShade="D9"/>
          </w:tcPr>
          <w:p w:rsidR="00E920B0" w:rsidRPr="009746AE" w:rsidRDefault="00E920B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920B0" w:rsidRPr="009746AE" w:rsidRDefault="00E920B0" w:rsidP="00A80B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920B0" w:rsidRPr="009746AE" w:rsidRDefault="00E920B0" w:rsidP="00A80B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E920B0" w:rsidRPr="009746AE" w:rsidTr="00A80B41">
        <w:tc>
          <w:tcPr>
            <w:tcW w:w="3968" w:type="dxa"/>
          </w:tcPr>
          <w:p w:rsidR="00E920B0" w:rsidRPr="009746AE" w:rsidRDefault="00E920B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E920B0" w:rsidRPr="009746AE" w:rsidRDefault="00E920B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873.848,00</w:t>
            </w:r>
          </w:p>
        </w:tc>
        <w:tc>
          <w:tcPr>
            <w:tcW w:w="2266" w:type="dxa"/>
          </w:tcPr>
          <w:p w:rsidR="00E920B0" w:rsidRPr="009746AE" w:rsidRDefault="00E920B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1.398.731,03</w:t>
            </w:r>
          </w:p>
        </w:tc>
      </w:tr>
      <w:tr w:rsidR="00E920B0" w:rsidRPr="009746AE" w:rsidTr="00A80B41">
        <w:tc>
          <w:tcPr>
            <w:tcW w:w="3968" w:type="dxa"/>
          </w:tcPr>
          <w:p w:rsidR="00E920B0" w:rsidRPr="009746AE" w:rsidRDefault="00E920B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 Rashodi za nabavu proizvedene dugotrajne imovine </w:t>
            </w:r>
          </w:p>
        </w:tc>
        <w:tc>
          <w:tcPr>
            <w:tcW w:w="2266" w:type="dxa"/>
          </w:tcPr>
          <w:p w:rsidR="00E920B0" w:rsidRPr="009746AE" w:rsidRDefault="00E920B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4.300.451,00</w:t>
            </w:r>
          </w:p>
        </w:tc>
        <w:tc>
          <w:tcPr>
            <w:tcW w:w="2266" w:type="dxa"/>
          </w:tcPr>
          <w:p w:rsidR="00E920B0" w:rsidRPr="009746AE" w:rsidRDefault="00E920B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4.839.112,16</w:t>
            </w:r>
          </w:p>
        </w:tc>
      </w:tr>
      <w:tr w:rsidR="00E920B0" w:rsidRPr="009746AE" w:rsidTr="00A80B41">
        <w:tc>
          <w:tcPr>
            <w:tcW w:w="3968" w:type="dxa"/>
          </w:tcPr>
          <w:p w:rsidR="00E920B0" w:rsidRPr="009746AE" w:rsidRDefault="00E920B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E920B0" w:rsidRPr="009746AE" w:rsidRDefault="00E920B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5.174.299,00</w:t>
            </w:r>
          </w:p>
        </w:tc>
        <w:tc>
          <w:tcPr>
            <w:tcW w:w="2266" w:type="dxa"/>
          </w:tcPr>
          <w:p w:rsidR="00E920B0" w:rsidRPr="009746AE" w:rsidRDefault="00E920B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6.237.843,19</w:t>
            </w:r>
          </w:p>
        </w:tc>
      </w:tr>
    </w:tbl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0B0">
        <w:rPr>
          <w:rFonts w:ascii="Times New Roman" w:hAnsi="Times New Roman" w:cs="Times New Roman"/>
          <w:b/>
          <w:sz w:val="24"/>
          <w:szCs w:val="24"/>
        </w:rPr>
        <w:t>Šifra 4124 Ostala prava</w:t>
      </w:r>
    </w:p>
    <w:p w:rsidR="00E920B0" w:rsidRP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20B0">
        <w:rPr>
          <w:rFonts w:ascii="Times New Roman" w:hAnsi="Times New Roman" w:cs="Times New Roman"/>
          <w:sz w:val="24"/>
          <w:szCs w:val="24"/>
        </w:rPr>
        <w:t xml:space="preserve">Troškovi iznose 1.141,981,03 kune i odnose se na ulaganje u izgradnju vodovodne infrastrukture </w:t>
      </w:r>
      <w:r>
        <w:rPr>
          <w:rFonts w:ascii="Times New Roman" w:hAnsi="Times New Roman" w:cs="Times New Roman"/>
          <w:sz w:val="24"/>
          <w:szCs w:val="24"/>
        </w:rPr>
        <w:t xml:space="preserve"> koja po završetku prelazi u vlasništbo Vodovoda Zadar.</w:t>
      </w:r>
    </w:p>
    <w:p w:rsidR="00E920B0" w:rsidRP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4126 Ostala nematerijalna imovina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</w:t>
      </w:r>
      <w:r>
        <w:rPr>
          <w:rFonts w:ascii="Times New Roman" w:hAnsi="Times New Roman" w:cs="Times New Roman"/>
          <w:sz w:val="24"/>
          <w:szCs w:val="24"/>
        </w:rPr>
        <w:t xml:space="preserve">osnovi iznose 256.750,00 kuna a odnose se </w:t>
      </w:r>
      <w:r w:rsidR="00DB116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troškove projektne dokumentacije i troškova oko izmjena i dopuna prostornog plana općine</w:t>
      </w:r>
      <w:r w:rsidR="00DB1169">
        <w:rPr>
          <w:rFonts w:ascii="Times New Roman" w:hAnsi="Times New Roman" w:cs="Times New Roman"/>
          <w:sz w:val="24"/>
          <w:szCs w:val="24"/>
        </w:rPr>
        <w:t>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>Šifra 4213 Ceste, željeznice i ostali poslovni objekti</w:t>
      </w:r>
    </w:p>
    <w:p w:rsidR="00DB1169" w:rsidRP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1169">
        <w:rPr>
          <w:rFonts w:ascii="Times New Roman" w:hAnsi="Times New Roman" w:cs="Times New Roman"/>
          <w:sz w:val="24"/>
          <w:szCs w:val="24"/>
        </w:rPr>
        <w:t>Troškovi iznose 243.658,75 kuna i manji su nego 2021. godine. Smanjene su potrebe obnove istih.</w:t>
      </w: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4214 Ostali građevinski objekti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su v</w:t>
      </w:r>
      <w:r w:rsidR="00DB1169">
        <w:rPr>
          <w:rFonts w:ascii="Times New Roman" w:hAnsi="Times New Roman" w:cs="Times New Roman"/>
          <w:sz w:val="24"/>
          <w:szCs w:val="24"/>
        </w:rPr>
        <w:t>iši u odnosu na prethodnu godinu i iznose 4.416.613,49 kuna i većina tih troškova odnosi se na obnovu sportskih objekata i to nogometnog igrališta u Posedarju.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4221 Uredska oprema i namještaj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58.215,42 kune i znatno su viši nego 2021. godine. Razlog povećanja je nabavka računalne opreme za potrebe Jedinstvenog upravnog odjela</w:t>
      </w:r>
      <w:r w:rsidR="00E920B0" w:rsidRPr="009746AE">
        <w:rPr>
          <w:rFonts w:ascii="Times New Roman" w:hAnsi="Times New Roman" w:cs="Times New Roman"/>
          <w:sz w:val="24"/>
          <w:szCs w:val="24"/>
        </w:rPr>
        <w:t>.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4222 Komunikacijska oprema 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15.092,00 kuna a odnose se za nabavku mobitela za potrebe Jedinstvenog upravnog odjela.</w:t>
      </w:r>
    </w:p>
    <w:p w:rsidR="00E920B0" w:rsidRPr="009746AE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B0" w:rsidRPr="009746AE" w:rsidRDefault="00E920B0" w:rsidP="00E920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4223 Oprema za održavanje i zaštitu</w:t>
      </w:r>
    </w:p>
    <w:p w:rsidR="00E920B0" w:rsidRPr="009746AE" w:rsidRDefault="00E920B0" w:rsidP="00E920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92,187,50 kuna a odnse se na nabavku opreme za potrebe Vlastitog komunalnog pogona.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DB1169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4227 Uređaji, strojevi i oprema za ostale namjene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13.345,00 kuna i donosi se za nabavku strojeva i uređaja za potrebe Vlastitog komunalnog pogona.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 xml:space="preserve">ŠifraY002 </w:t>
      </w:r>
      <w:r>
        <w:rPr>
          <w:rFonts w:ascii="Times New Roman" w:hAnsi="Times New Roman" w:cs="Times New Roman"/>
          <w:b/>
          <w:sz w:val="24"/>
          <w:szCs w:val="24"/>
        </w:rPr>
        <w:t>manjak prihoda od nefinancijske imovine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1169">
        <w:rPr>
          <w:rFonts w:ascii="Times New Roman" w:hAnsi="Times New Roman" w:cs="Times New Roman"/>
          <w:sz w:val="24"/>
          <w:szCs w:val="24"/>
        </w:rPr>
        <w:t>Manjak prihoda od nefinancijske imovine u 2022. godni iznosi 1.913.187,00.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0C0" w:rsidRDefault="001610C0" w:rsidP="001610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Izdaci za financijsku imovinu i otplatu zajmova</w:t>
      </w:r>
    </w:p>
    <w:p w:rsidR="001610C0" w:rsidRPr="009746AE" w:rsidRDefault="001610C0" w:rsidP="001610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1610C0" w:rsidRPr="009746AE" w:rsidTr="00A80B41">
        <w:tc>
          <w:tcPr>
            <w:tcW w:w="3968" w:type="dxa"/>
            <w:shd w:val="clear" w:color="auto" w:fill="D9D9D9" w:themeFill="background1" w:themeFillShade="D9"/>
          </w:tcPr>
          <w:p w:rsidR="001610C0" w:rsidRPr="009746AE" w:rsidRDefault="001610C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otplatu zajmova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1610C0" w:rsidRPr="009746AE" w:rsidRDefault="001610C0" w:rsidP="00A80B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1610C0" w:rsidRPr="009746AE" w:rsidRDefault="001610C0" w:rsidP="00A80B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1610C0" w:rsidRPr="009746AE" w:rsidTr="00A80B41">
        <w:tc>
          <w:tcPr>
            <w:tcW w:w="3968" w:type="dxa"/>
          </w:tcPr>
          <w:p w:rsidR="001610C0" w:rsidRPr="009746AE" w:rsidRDefault="001610C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Izdaci za otplatu glavnice orimljenih kredita i zajmova</w:t>
            </w:r>
          </w:p>
        </w:tc>
        <w:tc>
          <w:tcPr>
            <w:tcW w:w="2266" w:type="dxa"/>
          </w:tcPr>
          <w:p w:rsidR="001610C0" w:rsidRPr="009746AE" w:rsidRDefault="001610C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67.081,00</w:t>
            </w:r>
          </w:p>
        </w:tc>
        <w:tc>
          <w:tcPr>
            <w:tcW w:w="2266" w:type="dxa"/>
          </w:tcPr>
          <w:p w:rsidR="001610C0" w:rsidRPr="009746AE" w:rsidRDefault="001610C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402.643,17</w:t>
            </w:r>
          </w:p>
        </w:tc>
      </w:tr>
      <w:tr w:rsidR="001610C0" w:rsidRPr="009746AE" w:rsidTr="00A80B41">
        <w:tc>
          <w:tcPr>
            <w:tcW w:w="3968" w:type="dxa"/>
          </w:tcPr>
          <w:p w:rsidR="001610C0" w:rsidRPr="009746AE" w:rsidRDefault="001610C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610C0" w:rsidRPr="009746AE" w:rsidRDefault="001610C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610C0" w:rsidRPr="009746AE" w:rsidRDefault="001610C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C0" w:rsidRPr="009746AE" w:rsidTr="00A80B41">
        <w:tc>
          <w:tcPr>
            <w:tcW w:w="3968" w:type="dxa"/>
          </w:tcPr>
          <w:p w:rsidR="001610C0" w:rsidRPr="009746AE" w:rsidRDefault="001610C0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1610C0" w:rsidRPr="009746AE" w:rsidRDefault="001610C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67.081,00</w:t>
            </w:r>
          </w:p>
        </w:tc>
        <w:tc>
          <w:tcPr>
            <w:tcW w:w="2266" w:type="dxa"/>
          </w:tcPr>
          <w:p w:rsidR="001610C0" w:rsidRPr="009746AE" w:rsidRDefault="001610C0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402.643,17</w:t>
            </w:r>
          </w:p>
        </w:tc>
      </w:tr>
    </w:tbl>
    <w:p w:rsidR="001610C0" w:rsidRPr="00DB1169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5443 Otplata glavnice primljenih kredita od tuzemnih kreditnih institucija izvan javnog sektora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Izdaci u 2022. godini iznsoe 75.432,81 a odnose se na otplatu financijskog leasninga.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5471 Otplata glavnice zajmova od državnog proračuna</w:t>
      </w:r>
    </w:p>
    <w:p w:rsidR="001610C0" w:rsidRP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C0" w:rsidRPr="001610C0" w:rsidRDefault="001610C0" w:rsidP="001610C0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Kako  do 31.12.2021.godine Općina nije izvršila povrat sredstava s osnove povrata poreza na dohodak odobrena je obročna otplata četiri jednaka obroka u ukupnom iznosu od 327.210,36 kuna.</w:t>
      </w:r>
    </w:p>
    <w:p w:rsidR="00E920B0" w:rsidRDefault="001610C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X006 Višak prihoda i primitaka raspoloživ u slijedećem razdoblju</w:t>
      </w:r>
    </w:p>
    <w:p w:rsidR="002C0C6E" w:rsidRDefault="001610C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 xml:space="preserve">U 2022 godini ostvaren je višak prihoda i primitaka nad rashodima i izdacima u iznosu od </w:t>
      </w:r>
      <w:r w:rsidR="00FE1421">
        <w:rPr>
          <w:rFonts w:ascii="Times New Roman" w:hAnsi="Times New Roman" w:cs="Times New Roman"/>
          <w:sz w:val="24"/>
          <w:szCs w:val="24"/>
        </w:rPr>
        <w:t>1.286.122,55 kuna</w:t>
      </w:r>
    </w:p>
    <w:p w:rsidR="00FE1421" w:rsidRDefault="00FE1421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2C0C6E" w:rsidRDefault="002C0C6E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>
        <w:rPr>
          <w:rFonts w:ascii="Times New Roman" w:hAnsi="Times New Roman" w:cs="Times New Roman"/>
          <w:b/>
          <w:i/>
          <w:sz w:val="24"/>
          <w:szCs w:val="24"/>
        </w:rPr>
        <w:t>BILANCA</w:t>
      </w:r>
    </w:p>
    <w:p w:rsidR="004B2DC2" w:rsidRDefault="004B2DC2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617"/>
        <w:gridCol w:w="1504"/>
        <w:gridCol w:w="1251"/>
        <w:gridCol w:w="1276"/>
        <w:gridCol w:w="1559"/>
      </w:tblGrid>
      <w:tr w:rsidR="004B2DC2" w:rsidTr="004B2DC2">
        <w:tc>
          <w:tcPr>
            <w:tcW w:w="1478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2DC2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617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2DC2">
              <w:rPr>
                <w:rFonts w:ascii="Times New Roman" w:hAnsi="Times New Roman" w:cs="Times New Roman"/>
                <w:sz w:val="18"/>
                <w:szCs w:val="18"/>
              </w:rPr>
              <w:t>NEFINANCIJSKA IMOVINA</w:t>
            </w:r>
          </w:p>
        </w:tc>
        <w:tc>
          <w:tcPr>
            <w:tcW w:w="1504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2DC2">
              <w:rPr>
                <w:rFonts w:ascii="Times New Roman" w:hAnsi="Times New Roman" w:cs="Times New Roman"/>
                <w:sz w:val="18"/>
                <w:szCs w:val="18"/>
              </w:rPr>
              <w:t>FINANCIJSKA IMOVINA</w:t>
            </w:r>
          </w:p>
        </w:tc>
        <w:tc>
          <w:tcPr>
            <w:tcW w:w="1208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2DC2">
              <w:rPr>
                <w:rFonts w:ascii="Times New Roman" w:hAnsi="Times New Roman" w:cs="Times New Roman"/>
                <w:sz w:val="18"/>
                <w:szCs w:val="18"/>
              </w:rPr>
              <w:t>IMOVINA UKUPNO</w:t>
            </w:r>
          </w:p>
        </w:tc>
        <w:tc>
          <w:tcPr>
            <w:tcW w:w="1276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2DC2">
              <w:rPr>
                <w:rFonts w:ascii="Times New Roman" w:hAnsi="Times New Roman" w:cs="Times New Roman"/>
                <w:sz w:val="18"/>
                <w:szCs w:val="18"/>
              </w:rPr>
              <w:t>OBVEZE</w:t>
            </w:r>
          </w:p>
        </w:tc>
        <w:tc>
          <w:tcPr>
            <w:tcW w:w="1559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4B2DC2">
              <w:rPr>
                <w:rFonts w:ascii="Times New Roman" w:hAnsi="Times New Roman" w:cs="Times New Roman"/>
                <w:sz w:val="18"/>
                <w:szCs w:val="18"/>
              </w:rPr>
              <w:t>VLASTITI IZVORI</w:t>
            </w:r>
          </w:p>
        </w:tc>
      </w:tr>
      <w:tr w:rsidR="004B2DC2" w:rsidTr="004B2DC2">
        <w:tc>
          <w:tcPr>
            <w:tcW w:w="1478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Općina Posedarje</w:t>
            </w:r>
          </w:p>
        </w:tc>
        <w:tc>
          <w:tcPr>
            <w:tcW w:w="1617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51.837.284,99</w:t>
            </w:r>
          </w:p>
        </w:tc>
        <w:tc>
          <w:tcPr>
            <w:tcW w:w="1504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9.699.367,94</w:t>
            </w:r>
          </w:p>
        </w:tc>
        <w:tc>
          <w:tcPr>
            <w:tcW w:w="1208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61.536.652,93</w:t>
            </w:r>
          </w:p>
        </w:tc>
        <w:tc>
          <w:tcPr>
            <w:tcW w:w="1276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1.477.666,06</w:t>
            </w:r>
          </w:p>
        </w:tc>
        <w:tc>
          <w:tcPr>
            <w:tcW w:w="1559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60.058.986,87</w:t>
            </w:r>
          </w:p>
        </w:tc>
      </w:tr>
      <w:tr w:rsidR="004B2DC2" w:rsidTr="004B2DC2">
        <w:tc>
          <w:tcPr>
            <w:tcW w:w="1478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Vrtić Cvrčak-Poseadrje</w:t>
            </w:r>
          </w:p>
        </w:tc>
        <w:tc>
          <w:tcPr>
            <w:tcW w:w="1617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19.007,05</w:t>
            </w:r>
          </w:p>
        </w:tc>
        <w:tc>
          <w:tcPr>
            <w:tcW w:w="1504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194.571,31</w:t>
            </w:r>
          </w:p>
        </w:tc>
        <w:tc>
          <w:tcPr>
            <w:tcW w:w="1208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213,578,36</w:t>
            </w:r>
          </w:p>
        </w:tc>
        <w:tc>
          <w:tcPr>
            <w:tcW w:w="1276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158.005,26</w:t>
            </w:r>
          </w:p>
        </w:tc>
        <w:tc>
          <w:tcPr>
            <w:tcW w:w="1559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55.573,11</w:t>
            </w:r>
          </w:p>
        </w:tc>
      </w:tr>
      <w:tr w:rsidR="004B2DC2" w:rsidTr="004B2DC2">
        <w:tc>
          <w:tcPr>
            <w:tcW w:w="1478" w:type="dxa"/>
          </w:tcPr>
          <w:p w:rsidR="004B2DC2" w:rsidRPr="004B2DC2" w:rsidRDefault="004B2DC2" w:rsidP="002C0C6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UKUPNO:</w:t>
            </w:r>
          </w:p>
        </w:tc>
        <w:tc>
          <w:tcPr>
            <w:tcW w:w="1617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51.856.292,04</w:t>
            </w:r>
          </w:p>
        </w:tc>
        <w:tc>
          <w:tcPr>
            <w:tcW w:w="1504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9.893.939,25</w:t>
            </w:r>
          </w:p>
        </w:tc>
        <w:tc>
          <w:tcPr>
            <w:tcW w:w="1208" w:type="dxa"/>
          </w:tcPr>
          <w:p w:rsidR="004B2DC2" w:rsidRPr="00C26BF9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BF9">
              <w:rPr>
                <w:rFonts w:ascii="Times New Roman" w:hAnsi="Times New Roman" w:cs="Times New Roman"/>
                <w:b/>
                <w:sz w:val="18"/>
                <w:szCs w:val="18"/>
              </w:rPr>
              <w:t>61.750.231,19</w:t>
            </w:r>
          </w:p>
        </w:tc>
        <w:tc>
          <w:tcPr>
            <w:tcW w:w="1276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1.635.671,32</w:t>
            </w:r>
          </w:p>
        </w:tc>
        <w:tc>
          <w:tcPr>
            <w:tcW w:w="1559" w:type="dxa"/>
          </w:tcPr>
          <w:p w:rsidR="004B2DC2" w:rsidRPr="004B2DC2" w:rsidRDefault="00C26BF9" w:rsidP="00C26BF9">
            <w:pPr>
              <w:pStyle w:val="NoSpacing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60.114.559,98</w:t>
            </w:r>
          </w:p>
        </w:tc>
      </w:tr>
    </w:tbl>
    <w:p w:rsidR="004B2DC2" w:rsidRPr="009746AE" w:rsidRDefault="004B2DC2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2C0C6E" w:rsidRPr="001610C0" w:rsidRDefault="002C0C6E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Default="00810998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Ukupna imovina u 20</w:t>
      </w:r>
      <w:r w:rsidR="004E3940" w:rsidRPr="009746AE">
        <w:rPr>
          <w:rFonts w:ascii="Times New Roman" w:hAnsi="Times New Roman" w:cs="Times New Roman"/>
          <w:sz w:val="24"/>
          <w:szCs w:val="24"/>
        </w:rPr>
        <w:t>2</w:t>
      </w:r>
      <w:r w:rsidR="00793819" w:rsidRPr="009746AE">
        <w:rPr>
          <w:rFonts w:ascii="Times New Roman" w:hAnsi="Times New Roman" w:cs="Times New Roman"/>
          <w:sz w:val="24"/>
          <w:szCs w:val="24"/>
        </w:rPr>
        <w:t>2</w:t>
      </w:r>
      <w:r w:rsidR="004E3940" w:rsidRPr="009746AE">
        <w:rPr>
          <w:rFonts w:ascii="Times New Roman" w:hAnsi="Times New Roman" w:cs="Times New Roman"/>
          <w:sz w:val="24"/>
          <w:szCs w:val="24"/>
        </w:rPr>
        <w:t xml:space="preserve">. </w:t>
      </w:r>
      <w:r w:rsidR="004E39C5" w:rsidRPr="009746AE">
        <w:rPr>
          <w:rFonts w:ascii="Times New Roman" w:hAnsi="Times New Roman" w:cs="Times New Roman"/>
          <w:sz w:val="24"/>
          <w:szCs w:val="24"/>
        </w:rPr>
        <w:t>g</w:t>
      </w:r>
      <w:r w:rsidR="004E3940" w:rsidRPr="009746AE">
        <w:rPr>
          <w:rFonts w:ascii="Times New Roman" w:hAnsi="Times New Roman" w:cs="Times New Roman"/>
          <w:sz w:val="24"/>
          <w:szCs w:val="24"/>
        </w:rPr>
        <w:t xml:space="preserve">odini </w:t>
      </w:r>
      <w:r w:rsidR="004069C6" w:rsidRPr="009746AE">
        <w:rPr>
          <w:rFonts w:ascii="Times New Roman" w:hAnsi="Times New Roman" w:cs="Times New Roman"/>
          <w:sz w:val="24"/>
          <w:szCs w:val="24"/>
        </w:rPr>
        <w:t>viš</w:t>
      </w:r>
      <w:r w:rsidR="004E3940" w:rsidRPr="009746AE">
        <w:rPr>
          <w:rFonts w:ascii="Times New Roman" w:hAnsi="Times New Roman" w:cs="Times New Roman"/>
          <w:sz w:val="24"/>
          <w:szCs w:val="24"/>
        </w:rPr>
        <w:t>a</w:t>
      </w:r>
      <w:r w:rsidRPr="009746AE">
        <w:rPr>
          <w:rFonts w:ascii="Times New Roman" w:hAnsi="Times New Roman" w:cs="Times New Roman"/>
          <w:sz w:val="24"/>
          <w:szCs w:val="24"/>
        </w:rPr>
        <w:t xml:space="preserve"> je u odnosu na prethodnu godinu i iznosi </w:t>
      </w:r>
      <w:r w:rsidR="004B2DC2">
        <w:rPr>
          <w:rFonts w:ascii="Times New Roman" w:hAnsi="Times New Roman" w:cs="Times New Roman"/>
          <w:sz w:val="24"/>
          <w:szCs w:val="24"/>
        </w:rPr>
        <w:t>61.750.231,</w:t>
      </w:r>
      <w:r w:rsidR="00046979">
        <w:rPr>
          <w:rFonts w:ascii="Times New Roman" w:hAnsi="Times New Roman" w:cs="Times New Roman"/>
          <w:sz w:val="24"/>
          <w:szCs w:val="24"/>
        </w:rPr>
        <w:t>2</w:t>
      </w:r>
      <w:r w:rsidR="004B2DC2">
        <w:rPr>
          <w:rFonts w:ascii="Times New Roman" w:hAnsi="Times New Roman" w:cs="Times New Roman"/>
          <w:sz w:val="24"/>
          <w:szCs w:val="24"/>
        </w:rPr>
        <w:t>9</w:t>
      </w:r>
      <w:r w:rsidR="002C0C6E">
        <w:rPr>
          <w:rFonts w:ascii="Times New Roman" w:hAnsi="Times New Roman" w:cs="Times New Roman"/>
          <w:sz w:val="24"/>
          <w:szCs w:val="24"/>
        </w:rPr>
        <w:t xml:space="preserve"> kune i indeks izvršenja iznosi 115,</w:t>
      </w:r>
      <w:r w:rsidR="004B2DC2">
        <w:rPr>
          <w:rFonts w:ascii="Times New Roman" w:hAnsi="Times New Roman" w:cs="Times New Roman"/>
          <w:sz w:val="24"/>
          <w:szCs w:val="24"/>
        </w:rPr>
        <w:t>6</w:t>
      </w:r>
      <w:r w:rsidR="002C0C6E">
        <w:rPr>
          <w:rFonts w:ascii="Times New Roman" w:hAnsi="Times New Roman" w:cs="Times New Roman"/>
          <w:sz w:val="24"/>
          <w:szCs w:val="24"/>
        </w:rPr>
        <w:t>%.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>Šifra 0214 Ostali građevinski objekti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0C6E">
        <w:rPr>
          <w:rFonts w:ascii="Times New Roman" w:hAnsi="Times New Roman" w:cs="Times New Roman"/>
          <w:sz w:val="24"/>
          <w:szCs w:val="24"/>
        </w:rPr>
        <w:t>Indeks izvršenja u odnosu na 2021 godinu je 123,6% a razlog povećanja je povećanje vrijednosti građevinskih obekata na koje je prvenst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C0C6E">
        <w:rPr>
          <w:rFonts w:ascii="Times New Roman" w:hAnsi="Times New Roman" w:cs="Times New Roman"/>
          <w:sz w:val="24"/>
          <w:szCs w:val="24"/>
        </w:rPr>
        <w:t>eno utjecalo povećanje vrijednosti sportskih objekata.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P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 xml:space="preserve">Šifra 0221 Uredska oprema i namještaj 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imovine je radi nabavke nove računalne opreme.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P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>Šifra 0222 Komunikacijska oprema</w:t>
      </w:r>
    </w:p>
    <w:p w:rsidR="002C0C6E" w:rsidRP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2022. godini je došlo do povećanja vrijednosti imovine radi nabavke novih mobitela.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E39" w:rsidRPr="009746AE" w:rsidRDefault="00A10E39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A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11</w:t>
      </w:r>
      <w:r w:rsidR="00113DB1" w:rsidRPr="009746AE">
        <w:rPr>
          <w:rFonts w:ascii="Times New Roman" w:hAnsi="Times New Roman" w:cs="Times New Roman"/>
          <w:b/>
          <w:sz w:val="24"/>
          <w:szCs w:val="24"/>
        </w:rPr>
        <w:t xml:space="preserve"> Novac u banci i blagajni </w:t>
      </w:r>
    </w:p>
    <w:p w:rsidR="00113DB1" w:rsidRPr="009746AE" w:rsidRDefault="00113DB1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7393" w:rsidRPr="009746AE" w:rsidRDefault="00113DB1" w:rsidP="00113D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stavka odnosi se na novčana sr</w:t>
      </w:r>
      <w:r w:rsidR="00046979">
        <w:rPr>
          <w:rFonts w:ascii="Times New Roman" w:hAnsi="Times New Roman" w:cs="Times New Roman"/>
          <w:sz w:val="24"/>
          <w:szCs w:val="24"/>
        </w:rPr>
        <w:t xml:space="preserve">edstva na računima i u blagajni 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5B3D05" w:rsidRPr="009746AE">
        <w:rPr>
          <w:rFonts w:ascii="Times New Roman" w:hAnsi="Times New Roman" w:cs="Times New Roman"/>
          <w:sz w:val="24"/>
          <w:szCs w:val="24"/>
        </w:rPr>
        <w:t>Stanje računa HR</w:t>
      </w:r>
      <w:r w:rsidR="009760BF">
        <w:rPr>
          <w:rFonts w:ascii="Times New Roman" w:hAnsi="Times New Roman" w:cs="Times New Roman"/>
          <w:sz w:val="24"/>
          <w:szCs w:val="24"/>
        </w:rPr>
        <w:t xml:space="preserve">1523900011834900004 na </w:t>
      </w:r>
      <w:r w:rsidR="005B3D05" w:rsidRPr="009746AE">
        <w:rPr>
          <w:rFonts w:ascii="Times New Roman" w:hAnsi="Times New Roman" w:cs="Times New Roman"/>
          <w:sz w:val="24"/>
          <w:szCs w:val="24"/>
        </w:rPr>
        <w:t xml:space="preserve"> dan 31. prosinca 202</w:t>
      </w:r>
      <w:r w:rsidR="004B73FB" w:rsidRPr="009746AE">
        <w:rPr>
          <w:rFonts w:ascii="Times New Roman" w:hAnsi="Times New Roman" w:cs="Times New Roman"/>
          <w:sz w:val="24"/>
          <w:szCs w:val="24"/>
        </w:rPr>
        <w:t>2</w:t>
      </w:r>
      <w:r w:rsidR="005B3D05" w:rsidRPr="009746AE">
        <w:rPr>
          <w:rFonts w:ascii="Times New Roman" w:hAnsi="Times New Roman" w:cs="Times New Roman"/>
          <w:sz w:val="24"/>
          <w:szCs w:val="24"/>
        </w:rPr>
        <w:t xml:space="preserve">. godine </w:t>
      </w:r>
      <w:r w:rsidR="009760BF">
        <w:rPr>
          <w:rFonts w:ascii="Times New Roman" w:hAnsi="Times New Roman" w:cs="Times New Roman"/>
          <w:sz w:val="24"/>
          <w:szCs w:val="24"/>
        </w:rPr>
        <w:t>iznosi 2.551.127,72 kune a stanje novčanih sredstava u blagajni na dan 31.12.2022. godine iznosi 24,18 kuna.</w:t>
      </w:r>
      <w:r w:rsidR="00046979">
        <w:rPr>
          <w:rFonts w:ascii="Times New Roman" w:hAnsi="Times New Roman" w:cs="Times New Roman"/>
          <w:sz w:val="24"/>
          <w:szCs w:val="24"/>
        </w:rPr>
        <w:t xml:space="preserve"> Stanje kod proračunskog korisnika na računu kod OTP banke HR082407000110366260</w:t>
      </w:r>
      <w:r w:rsidR="00804064">
        <w:rPr>
          <w:rFonts w:ascii="Times New Roman" w:hAnsi="Times New Roman" w:cs="Times New Roman"/>
          <w:sz w:val="24"/>
          <w:szCs w:val="24"/>
        </w:rPr>
        <w:t xml:space="preserve"> iznosi 9.335,06 kuna. 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A0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Šifra </w:t>
      </w:r>
      <w:r w:rsidR="009760BF">
        <w:rPr>
          <w:rFonts w:ascii="Times New Roman" w:hAnsi="Times New Roman" w:cs="Times New Roman"/>
          <w:b/>
          <w:sz w:val="24"/>
          <w:szCs w:val="24"/>
        </w:rPr>
        <w:t>129 Ostala potraživanja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 xml:space="preserve">Ostala potraživanja iznose </w:t>
      </w:r>
      <w:r w:rsidR="00804064">
        <w:rPr>
          <w:rFonts w:ascii="Times New Roman" w:hAnsi="Times New Roman" w:cs="Times New Roman"/>
          <w:sz w:val="24"/>
          <w:szCs w:val="24"/>
        </w:rPr>
        <w:t>25.520,61</w:t>
      </w:r>
      <w:r w:rsidRPr="009760BF">
        <w:rPr>
          <w:rFonts w:ascii="Times New Roman" w:hAnsi="Times New Roman" w:cs="Times New Roman"/>
          <w:sz w:val="24"/>
          <w:szCs w:val="24"/>
        </w:rPr>
        <w:t xml:space="preserve"> kuna a odn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9760BF">
        <w:rPr>
          <w:rFonts w:ascii="Times New Roman" w:hAnsi="Times New Roman" w:cs="Times New Roman"/>
          <w:sz w:val="24"/>
          <w:szCs w:val="24"/>
        </w:rPr>
        <w:t xml:space="preserve"> se na potraživanja za refu</w:t>
      </w:r>
      <w:r>
        <w:rPr>
          <w:rFonts w:ascii="Times New Roman" w:hAnsi="Times New Roman" w:cs="Times New Roman"/>
          <w:sz w:val="24"/>
          <w:szCs w:val="24"/>
        </w:rPr>
        <w:t>ndaciju naknada za bo</w:t>
      </w:r>
      <w:r w:rsidRPr="009760BF">
        <w:rPr>
          <w:rFonts w:ascii="Times New Roman" w:hAnsi="Times New Roman" w:cs="Times New Roman"/>
          <w:sz w:val="24"/>
          <w:szCs w:val="24"/>
        </w:rPr>
        <w:t>lovanje preko 42 dana od Hrvatskog zavoda za zdravstveno osiguranje.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BF">
        <w:rPr>
          <w:rFonts w:ascii="Times New Roman" w:hAnsi="Times New Roman" w:cs="Times New Roman"/>
          <w:b/>
          <w:sz w:val="24"/>
          <w:szCs w:val="24"/>
        </w:rPr>
        <w:t>Šifra 13X1 Zajmovi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Stanje zajmova na dan 31.12.2022. godine je 0,00 kuna. Vršen je otpis potraživanja jer se potraživanja odnose na dosta ranije godine  i danas nije moguće utvrditi analitiku zajmova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15x1 Dionice i udjeli u glavnici</w:t>
      </w:r>
    </w:p>
    <w:p w:rsidR="009760BF" w:rsidRPr="009760BF" w:rsidRDefault="009760BF" w:rsidP="009760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Odnosi se na udio Općine Posedarje u poduzećima Liburnija d.o.o., Čistoća d.o.o. Zadar, Vodovod d.o.o. Zadar.</w:t>
      </w:r>
    </w:p>
    <w:p w:rsidR="000027D4" w:rsidRDefault="000027D4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A0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</w:t>
      </w:r>
      <w:r w:rsidR="000317A0" w:rsidRPr="009746AE">
        <w:rPr>
          <w:rFonts w:ascii="Times New Roman" w:hAnsi="Times New Roman" w:cs="Times New Roman"/>
          <w:b/>
          <w:sz w:val="24"/>
          <w:szCs w:val="24"/>
        </w:rPr>
        <w:t xml:space="preserve"> Potraživanja za prihode poslovanja</w:t>
      </w:r>
    </w:p>
    <w:p w:rsidR="000317A0" w:rsidRPr="009746AE" w:rsidRDefault="000317A0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poreze, potraživanja za prihode od imovine, potraživanja za upravne i administrativne pristojbe, pristojbe p</w:t>
      </w:r>
      <w:r w:rsidR="00B12D51" w:rsidRPr="009746AE">
        <w:rPr>
          <w:rFonts w:ascii="Times New Roman" w:hAnsi="Times New Roman" w:cs="Times New Roman"/>
          <w:sz w:val="24"/>
          <w:szCs w:val="24"/>
        </w:rPr>
        <w:t>o posebnim propisima i naknade</w:t>
      </w:r>
      <w:r w:rsidR="004B73FB" w:rsidRPr="009746AE">
        <w:rPr>
          <w:rFonts w:ascii="Times New Roman" w:hAnsi="Times New Roman" w:cs="Times New Roman"/>
          <w:sz w:val="24"/>
          <w:szCs w:val="24"/>
        </w:rPr>
        <w:t>.</w:t>
      </w: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Potraživanja za poreze </w:t>
      </w:r>
      <w:r w:rsidR="00DE7119" w:rsidRPr="009746AE">
        <w:rPr>
          <w:rFonts w:ascii="Times New Roman" w:hAnsi="Times New Roman" w:cs="Times New Roman"/>
          <w:sz w:val="24"/>
          <w:szCs w:val="24"/>
        </w:rPr>
        <w:t>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161</w:t>
      </w:r>
      <w:r w:rsidR="00DE7119"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Pr="009746AE">
        <w:rPr>
          <w:rFonts w:ascii="Times New Roman" w:hAnsi="Times New Roman" w:cs="Times New Roman"/>
          <w:sz w:val="24"/>
          <w:szCs w:val="24"/>
        </w:rPr>
        <w:t>odnose na potraživanja za porez na potrošnju,  porez na kuće za odmor i porez na promet nekretnina. Navedena potraživanj</w:t>
      </w:r>
      <w:r w:rsidR="007A75A8" w:rsidRPr="009746AE">
        <w:rPr>
          <w:rFonts w:ascii="Times New Roman" w:hAnsi="Times New Roman" w:cs="Times New Roman"/>
          <w:sz w:val="24"/>
          <w:szCs w:val="24"/>
        </w:rPr>
        <w:t xml:space="preserve">a iznose </w:t>
      </w:r>
      <w:r w:rsidR="009760BF">
        <w:rPr>
          <w:rFonts w:ascii="Times New Roman" w:hAnsi="Times New Roman" w:cs="Times New Roman"/>
          <w:sz w:val="24"/>
          <w:szCs w:val="24"/>
        </w:rPr>
        <w:t>1.410.917,94 kuna</w:t>
      </w:r>
    </w:p>
    <w:p w:rsidR="001C67DF" w:rsidRDefault="001C67DF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Potraživanja za prihode od imovine 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164</w:t>
      </w:r>
      <w:r w:rsidRPr="009746AE">
        <w:rPr>
          <w:rFonts w:ascii="Times New Roman" w:hAnsi="Times New Roman" w:cs="Times New Roman"/>
          <w:sz w:val="24"/>
          <w:szCs w:val="24"/>
        </w:rPr>
        <w:t xml:space="preserve">) iznose </w:t>
      </w:r>
      <w:r w:rsidR="002C104C">
        <w:rPr>
          <w:rFonts w:ascii="Times New Roman" w:hAnsi="Times New Roman" w:cs="Times New Roman"/>
          <w:sz w:val="24"/>
          <w:szCs w:val="24"/>
        </w:rPr>
        <w:t xml:space="preserve">189.041,73 kune </w:t>
      </w:r>
      <w:r w:rsidRPr="009746AE">
        <w:rPr>
          <w:rFonts w:ascii="Times New Roman" w:hAnsi="Times New Roman" w:cs="Times New Roman"/>
          <w:sz w:val="24"/>
          <w:szCs w:val="24"/>
        </w:rPr>
        <w:t>i većina potraživanja odnosi se na potraživanja od zakupa i iznajmljivanja imovine</w:t>
      </w:r>
      <w:r w:rsidR="002C104C">
        <w:rPr>
          <w:rFonts w:ascii="Times New Roman" w:hAnsi="Times New Roman" w:cs="Times New Roman"/>
          <w:sz w:val="24"/>
          <w:szCs w:val="24"/>
        </w:rPr>
        <w:t xml:space="preserve"> i naknade od legalizacije nezakonito izgrađenih objekata.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C" w:rsidRPr="009746AE" w:rsidRDefault="002C104C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104C" w:rsidRDefault="000317A0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Najveći dio potraživanja</w:t>
      </w:r>
      <w:r w:rsidR="007A75A8" w:rsidRPr="009746AE">
        <w:rPr>
          <w:rFonts w:ascii="Times New Roman" w:hAnsi="Times New Roman" w:cs="Times New Roman"/>
          <w:sz w:val="24"/>
          <w:szCs w:val="24"/>
        </w:rPr>
        <w:t xml:space="preserve"> za prihode poslovanja</w:t>
      </w:r>
      <w:r w:rsidRPr="009746AE">
        <w:rPr>
          <w:rFonts w:ascii="Times New Roman" w:hAnsi="Times New Roman" w:cs="Times New Roman"/>
          <w:sz w:val="24"/>
          <w:szCs w:val="24"/>
        </w:rPr>
        <w:t xml:space="preserve"> odnosi se na potraživanja za upravne i administrativne pristojbe, </w:t>
      </w:r>
      <w:r w:rsidR="00C3395B" w:rsidRPr="009746AE">
        <w:rPr>
          <w:rFonts w:ascii="Times New Roman" w:hAnsi="Times New Roman" w:cs="Times New Roman"/>
          <w:sz w:val="24"/>
          <w:szCs w:val="24"/>
        </w:rPr>
        <w:t xml:space="preserve">pristojbe po posebnim propisima i naknade </w:t>
      </w:r>
      <w:r w:rsidR="001C67DF" w:rsidRPr="009746AE">
        <w:rPr>
          <w:rFonts w:ascii="Times New Roman" w:hAnsi="Times New Roman" w:cs="Times New Roman"/>
          <w:sz w:val="24"/>
          <w:szCs w:val="24"/>
        </w:rPr>
        <w:t>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165</w:t>
      </w:r>
      <w:r w:rsidR="001C67DF"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="00C3395B" w:rsidRPr="009746AE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2C104C">
        <w:rPr>
          <w:rFonts w:ascii="Times New Roman" w:hAnsi="Times New Roman" w:cs="Times New Roman"/>
          <w:sz w:val="24"/>
          <w:szCs w:val="24"/>
        </w:rPr>
        <w:t>3.135.678,90 kuna</w:t>
      </w:r>
    </w:p>
    <w:p w:rsidR="00804064" w:rsidRDefault="00804064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4064" w:rsidRDefault="00804064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4064">
        <w:rPr>
          <w:rFonts w:ascii="Times New Roman" w:hAnsi="Times New Roman" w:cs="Times New Roman"/>
          <w:b/>
          <w:sz w:val="24"/>
          <w:szCs w:val="24"/>
        </w:rPr>
        <w:t>Šifra 166</w:t>
      </w:r>
      <w:r>
        <w:rPr>
          <w:rFonts w:ascii="Times New Roman" w:hAnsi="Times New Roman" w:cs="Times New Roman"/>
          <w:b/>
          <w:sz w:val="24"/>
          <w:szCs w:val="24"/>
        </w:rPr>
        <w:t xml:space="preserve"> potraživanja za prihode od prodaje proizvoda i robe te pruženih usluga </w:t>
      </w:r>
    </w:p>
    <w:p w:rsidR="00804064" w:rsidRPr="00804064" w:rsidRDefault="00804064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navedenoj šifri u bilanci prikazana su potraživanja proračunskog korisnika u iznosu od 27.955,00 kuna.</w:t>
      </w:r>
    </w:p>
    <w:p w:rsidR="002C104C" w:rsidRDefault="002C104C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3A39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169</w:t>
      </w:r>
      <w:r w:rsidR="007D3A39" w:rsidRPr="009746AE">
        <w:rPr>
          <w:rFonts w:ascii="Times New Roman" w:hAnsi="Times New Roman" w:cs="Times New Roman"/>
          <w:b/>
          <w:sz w:val="24"/>
          <w:szCs w:val="24"/>
        </w:rPr>
        <w:t xml:space="preserve"> Ispravak vrijednosti potraživanja</w:t>
      </w:r>
    </w:p>
    <w:p w:rsidR="007D3A39" w:rsidRPr="009746AE" w:rsidRDefault="007D3A39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3A39" w:rsidRPr="009746AE" w:rsidRDefault="007D3A39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Č</w:t>
      </w:r>
      <w:r w:rsidR="0092198F" w:rsidRPr="009746AE">
        <w:rPr>
          <w:rFonts w:ascii="Times New Roman" w:hAnsi="Times New Roman" w:cs="Times New Roman"/>
          <w:sz w:val="24"/>
          <w:szCs w:val="24"/>
        </w:rPr>
        <w:t>lan</w:t>
      </w:r>
      <w:r w:rsidRPr="009746AE">
        <w:rPr>
          <w:rFonts w:ascii="Times New Roman" w:hAnsi="Times New Roman" w:cs="Times New Roman"/>
          <w:sz w:val="24"/>
          <w:szCs w:val="24"/>
        </w:rPr>
        <w:t>kom 37.a Pravilnika</w:t>
      </w:r>
      <w:r w:rsidR="00B71DEE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>o izmjenama i dopunama Pravilnika o proračunskom računovodstvu i računskom planu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 propisani su </w:t>
      </w:r>
      <w:r w:rsidRPr="009746AE">
        <w:rPr>
          <w:rFonts w:ascii="Times New Roman" w:hAnsi="Times New Roman" w:cs="Times New Roman"/>
          <w:sz w:val="24"/>
          <w:szCs w:val="24"/>
        </w:rPr>
        <w:t xml:space="preserve">uvjeti za provođenje ispravka vrijednosti potraživanja na kraju godine 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te je navedeno i provedeno i iznosi </w:t>
      </w:r>
      <w:r w:rsidR="002C104C">
        <w:rPr>
          <w:rFonts w:ascii="Times New Roman" w:hAnsi="Times New Roman" w:cs="Times New Roman"/>
          <w:sz w:val="24"/>
          <w:szCs w:val="24"/>
        </w:rPr>
        <w:t>2.720.126,20 kuna.</w:t>
      </w:r>
    </w:p>
    <w:p w:rsidR="004B73FB" w:rsidRPr="009746AE" w:rsidRDefault="004B73F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A75A8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17</w:t>
      </w:r>
      <w:r w:rsidR="002C104C">
        <w:rPr>
          <w:rFonts w:ascii="Times New Roman" w:hAnsi="Times New Roman" w:cs="Times New Roman"/>
          <w:b/>
          <w:sz w:val="24"/>
          <w:szCs w:val="24"/>
        </w:rPr>
        <w:t>1</w:t>
      </w:r>
      <w:r w:rsidR="007A75A8" w:rsidRPr="009746AE">
        <w:rPr>
          <w:rFonts w:ascii="Times New Roman" w:hAnsi="Times New Roman" w:cs="Times New Roman"/>
          <w:b/>
          <w:sz w:val="24"/>
          <w:szCs w:val="24"/>
        </w:rPr>
        <w:t xml:space="preserve"> Potraživanja od prodaje nefinancijske imovine </w:t>
      </w:r>
    </w:p>
    <w:p w:rsidR="004B73FB" w:rsidRPr="009746AE" w:rsidRDefault="004B73FB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67DF" w:rsidRDefault="00886CEE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prihode od prodaje građevinskog zemljišta</w:t>
      </w:r>
      <w:r w:rsidR="002C104C">
        <w:rPr>
          <w:rFonts w:ascii="Times New Roman" w:hAnsi="Times New Roman" w:cs="Times New Roman"/>
          <w:sz w:val="24"/>
          <w:szCs w:val="24"/>
        </w:rPr>
        <w:t>. Potraživanja iznose 3.503.092,26 kuna i odnose se na potraživanja iz ranijih godina za poljoprivredno zemljište te potraživanja od prodaje građevinskih parcela.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C" w:rsidRPr="009746AE" w:rsidRDefault="002C104C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6CEE" w:rsidRPr="009746AE" w:rsidRDefault="00CE6EEB" w:rsidP="00886C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886CEE" w:rsidRPr="009746AE">
        <w:rPr>
          <w:rFonts w:ascii="Times New Roman" w:hAnsi="Times New Roman" w:cs="Times New Roman"/>
          <w:b/>
          <w:sz w:val="24"/>
          <w:szCs w:val="24"/>
        </w:rPr>
        <w:t>1</w:t>
      </w:r>
      <w:r w:rsidRPr="009746AE">
        <w:rPr>
          <w:rFonts w:ascii="Times New Roman" w:hAnsi="Times New Roman" w:cs="Times New Roman"/>
          <w:b/>
          <w:sz w:val="24"/>
          <w:szCs w:val="24"/>
        </w:rPr>
        <w:t>79</w:t>
      </w:r>
      <w:r w:rsidR="00886CEE" w:rsidRPr="009746AE">
        <w:rPr>
          <w:rFonts w:ascii="Times New Roman" w:hAnsi="Times New Roman" w:cs="Times New Roman"/>
          <w:b/>
          <w:sz w:val="24"/>
          <w:szCs w:val="24"/>
        </w:rPr>
        <w:t xml:space="preserve"> Ispravak vrijednosti potraživanja za prodanu nefinancijsku imovinu</w:t>
      </w:r>
    </w:p>
    <w:p w:rsidR="00820EC8" w:rsidRPr="009746AE" w:rsidRDefault="00886CEE" w:rsidP="00820E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Člankom 37.a Pravilnika</w:t>
      </w:r>
      <w:r w:rsidR="004769AB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 xml:space="preserve">o izmjenama i dopunama Pravilnika o proračunskom računovodstvu i računskom planu propisani su uvjeti za provođenje ispravka vrijednosti potraživanja na kraju godine te je navedeno i provedeno i iznosi </w:t>
      </w:r>
      <w:r w:rsidR="002C104C">
        <w:rPr>
          <w:rFonts w:ascii="Times New Roman" w:hAnsi="Times New Roman" w:cs="Times New Roman"/>
          <w:sz w:val="24"/>
          <w:szCs w:val="24"/>
        </w:rPr>
        <w:t>1.639.790,86 kuna.</w:t>
      </w:r>
    </w:p>
    <w:p w:rsidR="002C104C" w:rsidRDefault="002C104C" w:rsidP="00820E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064" w:rsidRDefault="00804064" w:rsidP="00820E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064" w:rsidRDefault="00804064" w:rsidP="00820E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E79" w:rsidRPr="009746AE" w:rsidRDefault="00406E79" w:rsidP="008F5A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06C" w:rsidRPr="009746AE" w:rsidRDefault="00BE08DC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="0017237F" w:rsidRPr="009746AE">
        <w:rPr>
          <w:rFonts w:ascii="Times New Roman" w:hAnsi="Times New Roman" w:cs="Times New Roman"/>
          <w:sz w:val="24"/>
          <w:szCs w:val="24"/>
        </w:rPr>
        <w:t>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23</w:t>
      </w:r>
      <w:r w:rsidR="0017237F" w:rsidRPr="009746AE">
        <w:rPr>
          <w:rFonts w:ascii="Times New Roman" w:hAnsi="Times New Roman" w:cs="Times New Roman"/>
          <w:sz w:val="24"/>
          <w:szCs w:val="24"/>
        </w:rPr>
        <w:t xml:space="preserve">)  </w:t>
      </w:r>
      <w:r w:rsidRPr="009746AE">
        <w:rPr>
          <w:rFonts w:ascii="Times New Roman" w:hAnsi="Times New Roman" w:cs="Times New Roman"/>
          <w:sz w:val="24"/>
          <w:szCs w:val="24"/>
        </w:rPr>
        <w:t xml:space="preserve">iznose </w:t>
      </w:r>
      <w:r w:rsidR="00357274">
        <w:rPr>
          <w:rFonts w:ascii="Times New Roman" w:hAnsi="Times New Roman" w:cs="Times New Roman"/>
          <w:sz w:val="24"/>
          <w:szCs w:val="24"/>
        </w:rPr>
        <w:t>909.647,60 kuna</w:t>
      </w:r>
      <w:r w:rsidR="005C206C" w:rsidRPr="009746AE">
        <w:rPr>
          <w:rFonts w:ascii="Times New Roman" w:hAnsi="Times New Roman" w:cs="Times New Roman"/>
          <w:sz w:val="24"/>
          <w:szCs w:val="24"/>
        </w:rPr>
        <w:t xml:space="preserve">, od čega su nedospjele obveze </w:t>
      </w:r>
      <w:r w:rsidR="00357274">
        <w:rPr>
          <w:rFonts w:ascii="Times New Roman" w:hAnsi="Times New Roman" w:cs="Times New Roman"/>
          <w:sz w:val="24"/>
          <w:szCs w:val="24"/>
        </w:rPr>
        <w:t>511.005,88</w:t>
      </w:r>
      <w:r w:rsidR="002C104C">
        <w:rPr>
          <w:rFonts w:ascii="Times New Roman" w:hAnsi="Times New Roman" w:cs="Times New Roman"/>
          <w:sz w:val="24"/>
          <w:szCs w:val="24"/>
        </w:rPr>
        <w:t xml:space="preserve"> kuna.</w:t>
      </w:r>
      <w:r w:rsidR="005C206C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F" w:rsidRPr="009746AE" w:rsidRDefault="0017237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0D85" w:rsidRPr="009746AE" w:rsidRDefault="0017237F" w:rsidP="00980D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Obveze za nabav</w:t>
      </w:r>
      <w:r w:rsidR="009D208D" w:rsidRPr="009746AE">
        <w:rPr>
          <w:rFonts w:ascii="Times New Roman" w:hAnsi="Times New Roman" w:cs="Times New Roman"/>
          <w:sz w:val="24"/>
          <w:szCs w:val="24"/>
        </w:rPr>
        <w:t>u nefinancijske imovine 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24</w:t>
      </w:r>
      <w:r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iznose </w:t>
      </w:r>
      <w:r w:rsidR="002C104C">
        <w:rPr>
          <w:rFonts w:ascii="Times New Roman" w:hAnsi="Times New Roman" w:cs="Times New Roman"/>
          <w:sz w:val="24"/>
          <w:szCs w:val="24"/>
        </w:rPr>
        <w:t>649.978,11 kuna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 od č</w:t>
      </w:r>
      <w:r w:rsidR="00951BCA" w:rsidRPr="009746AE">
        <w:rPr>
          <w:rFonts w:ascii="Times New Roman" w:hAnsi="Times New Roman" w:cs="Times New Roman"/>
          <w:sz w:val="24"/>
          <w:szCs w:val="24"/>
        </w:rPr>
        <w:t xml:space="preserve">ega su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 nedospjele obveze </w:t>
      </w:r>
      <w:r w:rsidR="002C104C">
        <w:rPr>
          <w:rFonts w:ascii="Times New Roman" w:hAnsi="Times New Roman" w:cs="Times New Roman"/>
          <w:sz w:val="24"/>
          <w:szCs w:val="24"/>
        </w:rPr>
        <w:t>346.791,70 kuna.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F" w:rsidRPr="009746AE" w:rsidRDefault="0017237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208D" w:rsidRPr="009746AE" w:rsidRDefault="009D208D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Bilješkama uz obrazac Obveze detaljnije su razrađene navedene obveze. </w:t>
      </w:r>
    </w:p>
    <w:p w:rsidR="0092198F" w:rsidRPr="009746AE" w:rsidRDefault="0092198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198F" w:rsidRPr="009746AE" w:rsidRDefault="0092198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Naplaćeni prihodi budućih razdoblja 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292</w:t>
      </w:r>
      <w:r w:rsidRPr="009746AE">
        <w:rPr>
          <w:rFonts w:ascii="Times New Roman" w:hAnsi="Times New Roman" w:cs="Times New Roman"/>
          <w:sz w:val="24"/>
          <w:szCs w:val="24"/>
        </w:rPr>
        <w:t xml:space="preserve">) odnose se na prihode od jamčevina u iznosu od </w:t>
      </w:r>
      <w:r w:rsidR="002C104C">
        <w:rPr>
          <w:rFonts w:ascii="Times New Roman" w:hAnsi="Times New Roman" w:cs="Times New Roman"/>
          <w:sz w:val="24"/>
          <w:szCs w:val="24"/>
        </w:rPr>
        <w:t>76.043,60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koja će biti raspoređena u 20</w:t>
      </w:r>
      <w:r w:rsidR="00A47F18" w:rsidRPr="009746AE">
        <w:rPr>
          <w:rFonts w:ascii="Times New Roman" w:hAnsi="Times New Roman" w:cs="Times New Roman"/>
          <w:sz w:val="24"/>
          <w:szCs w:val="24"/>
        </w:rPr>
        <w:t>2</w:t>
      </w:r>
      <w:r w:rsidR="00CE6EEB" w:rsidRPr="009746AE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8A217D" w:rsidRPr="009746AE" w:rsidRDefault="008A217D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668B0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</w:t>
      </w:r>
      <w:r w:rsidR="004F2232" w:rsidRPr="009746AE">
        <w:rPr>
          <w:rFonts w:ascii="Times New Roman" w:hAnsi="Times New Roman" w:cs="Times New Roman"/>
          <w:b/>
          <w:sz w:val="24"/>
          <w:szCs w:val="24"/>
        </w:rPr>
        <w:t xml:space="preserve"> Vlastiti izvori</w:t>
      </w:r>
    </w:p>
    <w:p w:rsidR="004F2232" w:rsidRPr="009746AE" w:rsidRDefault="004F2232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 odnosu na prethodnu godinu vlastiti izvori su se</w:t>
      </w:r>
      <w:r w:rsidR="00421E90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980D85" w:rsidRPr="009746AE">
        <w:rPr>
          <w:rFonts w:ascii="Times New Roman" w:hAnsi="Times New Roman" w:cs="Times New Roman"/>
          <w:sz w:val="24"/>
          <w:szCs w:val="24"/>
        </w:rPr>
        <w:t>povećali</w:t>
      </w:r>
      <w:r w:rsidRPr="009746AE">
        <w:rPr>
          <w:rFonts w:ascii="Times New Roman" w:hAnsi="Times New Roman" w:cs="Times New Roman"/>
          <w:sz w:val="24"/>
          <w:szCs w:val="24"/>
        </w:rPr>
        <w:t xml:space="preserve"> i iznose </w:t>
      </w:r>
      <w:r w:rsidR="00357274">
        <w:rPr>
          <w:rFonts w:ascii="Times New Roman" w:hAnsi="Times New Roman" w:cs="Times New Roman"/>
          <w:sz w:val="24"/>
          <w:szCs w:val="24"/>
        </w:rPr>
        <w:t xml:space="preserve">60.114.559,98 kuna od čega vlastiti izvori proračunskog korisnika iznose </w:t>
      </w:r>
      <w:r w:rsidR="00A80B41">
        <w:rPr>
          <w:rFonts w:ascii="Times New Roman" w:hAnsi="Times New Roman" w:cs="Times New Roman"/>
          <w:sz w:val="24"/>
          <w:szCs w:val="24"/>
        </w:rPr>
        <w:t>55.573,11 kuna.</w:t>
      </w: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F2232" w:rsidP="00B85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Sukladno članku 82. Pravilnika o proračunskom računovodstvu i računskom planu izvršena je</w:t>
      </w:r>
    </w:p>
    <w:p w:rsidR="00980D85" w:rsidRPr="009746AE" w:rsidRDefault="004F2232" w:rsidP="00B85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ko</w:t>
      </w:r>
      <w:r w:rsidR="00B85759" w:rsidRPr="009746AE">
        <w:rPr>
          <w:rFonts w:ascii="Times New Roman" w:hAnsi="Times New Roman" w:cs="Times New Roman"/>
          <w:sz w:val="24"/>
          <w:szCs w:val="24"/>
        </w:rPr>
        <w:t>rekcija rezultata na računu 922</w:t>
      </w:r>
      <w:r w:rsidRPr="009746AE">
        <w:rPr>
          <w:rFonts w:ascii="Times New Roman" w:hAnsi="Times New Roman" w:cs="Times New Roman"/>
          <w:sz w:val="24"/>
          <w:szCs w:val="24"/>
        </w:rPr>
        <w:t xml:space="preserve">. Korigiran je rezultat za iznos od </w:t>
      </w:r>
      <w:r w:rsidR="002C104C">
        <w:rPr>
          <w:rFonts w:ascii="Times New Roman" w:hAnsi="Times New Roman" w:cs="Times New Roman"/>
          <w:sz w:val="24"/>
          <w:szCs w:val="24"/>
        </w:rPr>
        <w:t>100.000,00 kuna za dobivenu kapitalnu pomoć</w:t>
      </w:r>
      <w:r w:rsidR="00972866" w:rsidRPr="009746AE">
        <w:rPr>
          <w:rFonts w:ascii="Times New Roman" w:hAnsi="Times New Roman" w:cs="Times New Roman"/>
          <w:sz w:val="24"/>
          <w:szCs w:val="24"/>
        </w:rPr>
        <w:t xml:space="preserve"> koja je utrošena za nabavu dugotrajne nefinancijske imovine zaduženjem računa viška prihoda poslovanja, a odobravanjem računa manjka prihoda od nefinancijske imovine.</w:t>
      </w:r>
    </w:p>
    <w:p w:rsidR="00980D85" w:rsidRPr="009746AE" w:rsidRDefault="00980D85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Podatak u Bilanci je naveden nakon </w:t>
      </w:r>
      <w:r w:rsidR="005200E4" w:rsidRPr="009746AE">
        <w:rPr>
          <w:rFonts w:ascii="Times New Roman" w:hAnsi="Times New Roman" w:cs="Times New Roman"/>
          <w:sz w:val="24"/>
          <w:szCs w:val="24"/>
        </w:rPr>
        <w:t>provedene korekcije rezultata.</w:t>
      </w:r>
    </w:p>
    <w:p w:rsidR="005200E4" w:rsidRPr="009746AE" w:rsidRDefault="005200E4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200E4" w:rsidRPr="009746AE" w:rsidRDefault="00421E90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dan 31. prosinca 20</w:t>
      </w:r>
      <w:r w:rsidR="00402E2D" w:rsidRPr="009746AE">
        <w:rPr>
          <w:rFonts w:ascii="Times New Roman" w:hAnsi="Times New Roman" w:cs="Times New Roman"/>
          <w:sz w:val="24"/>
          <w:szCs w:val="24"/>
        </w:rPr>
        <w:t>2</w:t>
      </w:r>
      <w:r w:rsidR="004668B0" w:rsidRPr="009746AE">
        <w:rPr>
          <w:rFonts w:ascii="Times New Roman" w:hAnsi="Times New Roman" w:cs="Times New Roman"/>
          <w:sz w:val="24"/>
          <w:szCs w:val="24"/>
        </w:rPr>
        <w:t>2</w:t>
      </w:r>
      <w:r w:rsidR="004F2232" w:rsidRPr="009746AE">
        <w:rPr>
          <w:rFonts w:ascii="Times New Roman" w:hAnsi="Times New Roman" w:cs="Times New Roman"/>
          <w:sz w:val="24"/>
          <w:szCs w:val="24"/>
        </w:rPr>
        <w:t>. godine višak prihoda poslovanja</w:t>
      </w:r>
      <w:r w:rsidR="005200E4" w:rsidRPr="009746AE">
        <w:rPr>
          <w:rFonts w:ascii="Times New Roman" w:hAnsi="Times New Roman" w:cs="Times New Roman"/>
          <w:sz w:val="24"/>
          <w:szCs w:val="24"/>
        </w:rPr>
        <w:t xml:space="preserve"> iznosi </w:t>
      </w:r>
      <w:r w:rsidR="00A80B41">
        <w:rPr>
          <w:rFonts w:ascii="Times New Roman" w:hAnsi="Times New Roman" w:cs="Times New Roman"/>
          <w:sz w:val="24"/>
          <w:szCs w:val="24"/>
        </w:rPr>
        <w:t>11.346.225,35</w:t>
      </w:r>
      <w:r w:rsidR="004E5C58">
        <w:rPr>
          <w:rFonts w:ascii="Times New Roman" w:hAnsi="Times New Roman" w:cs="Times New Roman"/>
          <w:sz w:val="24"/>
          <w:szCs w:val="24"/>
        </w:rPr>
        <w:t xml:space="preserve"> kuna, </w:t>
      </w:r>
      <w:r w:rsidR="003F1B39">
        <w:rPr>
          <w:rFonts w:ascii="Times New Roman" w:hAnsi="Times New Roman" w:cs="Times New Roman"/>
          <w:sz w:val="24"/>
          <w:szCs w:val="24"/>
        </w:rPr>
        <w:t xml:space="preserve">manjak primitaka od fianancijske imovine iznosi 146.972,50 </w:t>
      </w:r>
      <w:r w:rsidR="004E5C58">
        <w:rPr>
          <w:rFonts w:ascii="Times New Roman" w:hAnsi="Times New Roman" w:cs="Times New Roman"/>
          <w:sz w:val="24"/>
          <w:szCs w:val="24"/>
        </w:rPr>
        <w:t>te manjak prihoda od nefinancijske imovine iznosi 9.913.130,30 kuna.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 Višak prihoda za raspored u sljedećoj proračunskoj godini iznosi </w:t>
      </w:r>
      <w:r w:rsidR="003F1B39">
        <w:rPr>
          <w:rFonts w:ascii="Times New Roman" w:hAnsi="Times New Roman" w:cs="Times New Roman"/>
          <w:sz w:val="24"/>
          <w:szCs w:val="24"/>
        </w:rPr>
        <w:t>1.2</w:t>
      </w:r>
      <w:r w:rsidR="00A80B41">
        <w:rPr>
          <w:rFonts w:ascii="Times New Roman" w:hAnsi="Times New Roman" w:cs="Times New Roman"/>
          <w:sz w:val="24"/>
          <w:szCs w:val="24"/>
        </w:rPr>
        <w:t>86.122,55</w:t>
      </w:r>
      <w:r w:rsidR="003F1B39">
        <w:rPr>
          <w:rFonts w:ascii="Times New Roman" w:hAnsi="Times New Roman" w:cs="Times New Roman"/>
          <w:sz w:val="24"/>
          <w:szCs w:val="24"/>
        </w:rPr>
        <w:t xml:space="preserve"> kune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E39" w:rsidRPr="009746AE" w:rsidRDefault="00A10E39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0E39" w:rsidRPr="009746AE" w:rsidRDefault="004668B0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991 i 996</w:t>
      </w:r>
      <w:r w:rsidR="00BE08DC" w:rsidRPr="009746AE">
        <w:rPr>
          <w:rFonts w:ascii="Times New Roman" w:hAnsi="Times New Roman" w:cs="Times New Roman"/>
          <w:b/>
          <w:sz w:val="24"/>
          <w:szCs w:val="24"/>
        </w:rPr>
        <w:t xml:space="preserve"> Izvanbilančni zapisi</w:t>
      </w:r>
    </w:p>
    <w:p w:rsidR="00B85759" w:rsidRPr="009746AE" w:rsidRDefault="00B85759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33C7" w:rsidRPr="009746AE" w:rsidRDefault="000C191A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izvanbilančnim zapisima nalazi se</w:t>
      </w:r>
      <w:r w:rsidR="00BE08DC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AC2F44" w:rsidRPr="009746AE">
        <w:rPr>
          <w:rFonts w:ascii="Times New Roman" w:hAnsi="Times New Roman" w:cs="Times New Roman"/>
          <w:sz w:val="24"/>
          <w:szCs w:val="24"/>
        </w:rPr>
        <w:t>ukupna vrijednost potencijalnih obvez</w:t>
      </w:r>
      <w:r w:rsidR="00C463C7" w:rsidRPr="009746AE">
        <w:rPr>
          <w:rFonts w:ascii="Times New Roman" w:hAnsi="Times New Roman" w:cs="Times New Roman"/>
          <w:sz w:val="24"/>
          <w:szCs w:val="24"/>
        </w:rPr>
        <w:t>a</w:t>
      </w:r>
      <w:r w:rsidR="00AC2F44" w:rsidRPr="009746AE">
        <w:rPr>
          <w:rFonts w:ascii="Times New Roman" w:hAnsi="Times New Roman" w:cs="Times New Roman"/>
          <w:sz w:val="24"/>
          <w:szCs w:val="24"/>
        </w:rPr>
        <w:t xml:space="preserve"> po sudskim sporovima u iznosu od </w:t>
      </w:r>
      <w:r w:rsidR="003F1B39">
        <w:rPr>
          <w:rFonts w:ascii="Times New Roman" w:hAnsi="Times New Roman" w:cs="Times New Roman"/>
          <w:sz w:val="24"/>
          <w:szCs w:val="24"/>
        </w:rPr>
        <w:t>2.954.940,92 kune.</w:t>
      </w:r>
    </w:p>
    <w:p w:rsidR="002459CB" w:rsidRPr="009746AE" w:rsidRDefault="002459CB" w:rsidP="002459C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173D2" w:rsidRPr="009746AE" w:rsidRDefault="00D173D2" w:rsidP="005E33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2A3B" w:rsidRPr="009746AE" w:rsidRDefault="004A2A3B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Rashodi prema funkcijskoj klasifikaciji: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Prema funkcijskoj klasifikaciji razvrstani su rashodi poslovanja i rashodi za nabavu nefinancijske imovine.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032 Usluge protupožarne zaštite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odnosu na prethodnu godinu u 2022. godini je ostvareno samo redovno financiranje DVD-a </w:t>
      </w:r>
      <w:r>
        <w:rPr>
          <w:rFonts w:ascii="Times New Roman" w:hAnsi="Times New Roman" w:cs="Times New Roman"/>
          <w:sz w:val="24"/>
          <w:szCs w:val="24"/>
        </w:rPr>
        <w:t>Posedarje i troškovi financiranja planova protupožarne zaštite. Ukupni troškovi iznose 364.142,28 kuna.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Šifra 0473 Turizam 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troškovi vezani uz turizam iznose 484.593,24 i znatno su veći nego 2021. godine Razlog je što prošlu 2021. godinu nije bilo nikakvih turističkih događanja radi COVID </w:t>
      </w:r>
      <w:r>
        <w:rPr>
          <w:rFonts w:ascii="Times New Roman" w:hAnsi="Times New Roman" w:cs="Times New Roman"/>
          <w:sz w:val="24"/>
          <w:szCs w:val="24"/>
        </w:rPr>
        <w:lastRenderedPageBreak/>
        <w:t>pandemije a nakon ukidanja mjera organizirana su ljetna događa pa su shodno tome nastali i troškovi.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064 Ulična rasvjeta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Navedeni rashodi su </w:t>
      </w:r>
      <w:r>
        <w:rPr>
          <w:rFonts w:ascii="Times New Roman" w:hAnsi="Times New Roman" w:cs="Times New Roman"/>
          <w:sz w:val="24"/>
          <w:szCs w:val="24"/>
        </w:rPr>
        <w:t>znatno viši nego u 2021. gdini i danas iznose 2,078,164,68 kuna. Razlog tome je znatno poskupljenje električne energije i povećani su rashodi vezani uz održavanje i izgradnju ulične rasvjete.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066 Rashodi vezani za stanovanje i komunalne pogodnosti koji nisu drugdje svrstani</w:t>
      </w:r>
    </w:p>
    <w:p w:rsidR="003B7D78" w:rsidRP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>Troškovi iznose 104.065,19 kuna i znatno su manji nego 2021. godine Razlog je što se odustalo od nekih projekata radi ne pronalaženja izvora financiranja.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78">
        <w:rPr>
          <w:rFonts w:ascii="Times New Roman" w:hAnsi="Times New Roman" w:cs="Times New Roman"/>
          <w:b/>
          <w:sz w:val="24"/>
          <w:szCs w:val="24"/>
        </w:rPr>
        <w:t>Šifra 086 Rashodi za rekreaciju, kulturu i religiju koji nisu drugdje svrstani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>Troškovi iznose 2.946.426,29 kuna i znatno su veći nego u 2021. godini. Razlog je ulaganje u gradnju sportskih objekata.</w:t>
      </w:r>
    </w:p>
    <w:p w:rsidR="00A80B41" w:rsidRDefault="00A80B41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0B41" w:rsidRDefault="00A80B41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B41">
        <w:rPr>
          <w:rFonts w:ascii="Times New Roman" w:hAnsi="Times New Roman" w:cs="Times New Roman"/>
          <w:b/>
          <w:sz w:val="24"/>
          <w:szCs w:val="24"/>
        </w:rPr>
        <w:t xml:space="preserve">Šifra 091 Predškolsko i osnovno obrazovanje </w:t>
      </w:r>
    </w:p>
    <w:p w:rsidR="00A80B41" w:rsidRPr="00A80B41" w:rsidRDefault="00A80B41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0B41">
        <w:rPr>
          <w:rFonts w:ascii="Times New Roman" w:hAnsi="Times New Roman" w:cs="Times New Roman"/>
          <w:sz w:val="24"/>
          <w:szCs w:val="24"/>
        </w:rPr>
        <w:t xml:space="preserve">Na navedenoj šifri prikazani su skupni podaci i s izdacima proračunskog korisnika </w:t>
      </w:r>
      <w:r>
        <w:rPr>
          <w:rFonts w:ascii="Times New Roman" w:hAnsi="Times New Roman" w:cs="Times New Roman"/>
          <w:sz w:val="24"/>
          <w:szCs w:val="24"/>
        </w:rPr>
        <w:t xml:space="preserve"> i na navedenoj šifri ostvareni rashodi iznose 2.194.522,30 kuna.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6460" w:rsidRDefault="00016460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460">
        <w:rPr>
          <w:rFonts w:ascii="Times New Roman" w:hAnsi="Times New Roman" w:cs="Times New Roman"/>
          <w:b/>
          <w:sz w:val="24"/>
          <w:szCs w:val="24"/>
        </w:rPr>
        <w:t>Šifra 10 Socijalna zaštita</w:t>
      </w:r>
    </w:p>
    <w:p w:rsidR="00016460" w:rsidRPr="00016460" w:rsidRDefault="0001646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16460">
        <w:rPr>
          <w:rFonts w:ascii="Times New Roman" w:hAnsi="Times New Roman" w:cs="Times New Roman"/>
          <w:sz w:val="24"/>
          <w:szCs w:val="24"/>
        </w:rPr>
        <w:t>Na navedenoj šifri prikazani su svi izdaci na području socijalne zaštite svoj potrebitog stanovništa i rashodi iznose 225.556,56 kuna.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Obveze:</w:t>
      </w:r>
    </w:p>
    <w:p w:rsidR="00A80B41" w:rsidRDefault="00A80B41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0B41" w:rsidRDefault="00A80B41" w:rsidP="00A80B4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2 Obveze </w:t>
      </w:r>
    </w:p>
    <w:p w:rsidR="00A80B41" w:rsidRPr="009746AE" w:rsidRDefault="00A80B41" w:rsidP="00A80B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985"/>
        <w:gridCol w:w="2268"/>
      </w:tblGrid>
      <w:tr w:rsidR="00A80B41" w:rsidTr="00A80B41">
        <w:tc>
          <w:tcPr>
            <w:tcW w:w="2265" w:type="dxa"/>
          </w:tcPr>
          <w:p w:rsidR="00A80B41" w:rsidRPr="00804064" w:rsidRDefault="00A80B41" w:rsidP="00A80B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841" w:type="dxa"/>
          </w:tcPr>
          <w:p w:rsidR="00A80B41" w:rsidRPr="00804064" w:rsidRDefault="00A80B41" w:rsidP="00A80B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UKUPNE OBVEZE</w:t>
            </w:r>
          </w:p>
        </w:tc>
        <w:tc>
          <w:tcPr>
            <w:tcW w:w="1985" w:type="dxa"/>
          </w:tcPr>
          <w:p w:rsidR="00A80B41" w:rsidRPr="00804064" w:rsidRDefault="00A80B41" w:rsidP="00A80B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DOSPIJELE OBVEZE</w:t>
            </w:r>
          </w:p>
        </w:tc>
        <w:tc>
          <w:tcPr>
            <w:tcW w:w="2268" w:type="dxa"/>
          </w:tcPr>
          <w:p w:rsidR="00A80B41" w:rsidRPr="00804064" w:rsidRDefault="00A80B41" w:rsidP="00A80B4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804064">
              <w:rPr>
                <w:rFonts w:ascii="Times New Roman" w:hAnsi="Times New Roman" w:cs="Times New Roman"/>
                <w:sz w:val="18"/>
                <w:szCs w:val="18"/>
              </w:rPr>
              <w:t>NEDOSPIJELE OBVEZE</w:t>
            </w:r>
          </w:p>
        </w:tc>
      </w:tr>
      <w:tr w:rsidR="00A80B41" w:rsidTr="00A80B41">
        <w:tc>
          <w:tcPr>
            <w:tcW w:w="2265" w:type="dxa"/>
          </w:tcPr>
          <w:p w:rsidR="00A80B41" w:rsidRDefault="00A80B41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Posedarje</w:t>
            </w:r>
          </w:p>
        </w:tc>
        <w:tc>
          <w:tcPr>
            <w:tcW w:w="1841" w:type="dxa"/>
          </w:tcPr>
          <w:p w:rsidR="00A80B41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1.401.622,46</w:t>
            </w:r>
          </w:p>
        </w:tc>
        <w:tc>
          <w:tcPr>
            <w:tcW w:w="1985" w:type="dxa"/>
          </w:tcPr>
          <w:p w:rsidR="00A80B41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701.830,13</w:t>
            </w:r>
          </w:p>
        </w:tc>
        <w:tc>
          <w:tcPr>
            <w:tcW w:w="2268" w:type="dxa"/>
          </w:tcPr>
          <w:p w:rsidR="00A80B41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699.792,33</w:t>
            </w:r>
          </w:p>
        </w:tc>
      </w:tr>
      <w:tr w:rsidR="00A80B41" w:rsidTr="00A80B41">
        <w:tc>
          <w:tcPr>
            <w:tcW w:w="2265" w:type="dxa"/>
          </w:tcPr>
          <w:p w:rsidR="00A80B41" w:rsidRDefault="00A80B41" w:rsidP="00A80B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vrtić Cvrčak Posedarje</w:t>
            </w:r>
          </w:p>
        </w:tc>
        <w:tc>
          <w:tcPr>
            <w:tcW w:w="1841" w:type="dxa"/>
          </w:tcPr>
          <w:p w:rsidR="00A80B41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158.005,25</w:t>
            </w:r>
          </w:p>
        </w:tc>
        <w:tc>
          <w:tcPr>
            <w:tcW w:w="1985" w:type="dxa"/>
          </w:tcPr>
          <w:p w:rsidR="00A80B41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B41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158.005,25</w:t>
            </w:r>
          </w:p>
        </w:tc>
      </w:tr>
      <w:tr w:rsidR="00A80B41" w:rsidRPr="00357274" w:rsidTr="00A80B41">
        <w:tc>
          <w:tcPr>
            <w:tcW w:w="2265" w:type="dxa"/>
          </w:tcPr>
          <w:p w:rsidR="00A80B41" w:rsidRPr="00357274" w:rsidRDefault="00A80B41" w:rsidP="00A80B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4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841" w:type="dxa"/>
          </w:tcPr>
          <w:p w:rsidR="00A80B41" w:rsidRPr="00357274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4">
              <w:rPr>
                <w:rFonts w:ascii="Times New Roman" w:hAnsi="Times New Roman" w:cs="Times New Roman"/>
                <w:b/>
                <w:sz w:val="24"/>
                <w:szCs w:val="24"/>
              </w:rPr>
              <w:t>1.559.627,71</w:t>
            </w:r>
          </w:p>
        </w:tc>
        <w:tc>
          <w:tcPr>
            <w:tcW w:w="1985" w:type="dxa"/>
          </w:tcPr>
          <w:p w:rsidR="00A80B41" w:rsidRPr="00357274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4">
              <w:rPr>
                <w:rFonts w:ascii="Times New Roman" w:hAnsi="Times New Roman" w:cs="Times New Roman"/>
                <w:b/>
                <w:sz w:val="24"/>
                <w:szCs w:val="24"/>
              </w:rPr>
              <w:t>701.830,13</w:t>
            </w:r>
          </w:p>
        </w:tc>
        <w:tc>
          <w:tcPr>
            <w:tcW w:w="2268" w:type="dxa"/>
          </w:tcPr>
          <w:p w:rsidR="00A80B41" w:rsidRPr="00357274" w:rsidRDefault="00A80B41" w:rsidP="00A80B4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74">
              <w:rPr>
                <w:rFonts w:ascii="Times New Roman" w:hAnsi="Times New Roman" w:cs="Times New Roman"/>
                <w:b/>
                <w:sz w:val="24"/>
                <w:szCs w:val="24"/>
              </w:rPr>
              <w:t>857.797,58</w:t>
            </w:r>
          </w:p>
        </w:tc>
      </w:tr>
    </w:tbl>
    <w:p w:rsidR="00A80B41" w:rsidRPr="009746AE" w:rsidRDefault="00A80B41" w:rsidP="003B7D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Stanje obveza 1. siječnja 2022. godine, odgovara stanju obveza na kraju prosinca 2021. godine i iznosi </w:t>
      </w:r>
      <w:r w:rsidR="00A80B41">
        <w:rPr>
          <w:rFonts w:ascii="Times New Roman" w:hAnsi="Times New Roman" w:cs="Times New Roman"/>
          <w:sz w:val="24"/>
          <w:szCs w:val="24"/>
        </w:rPr>
        <w:t>1.370.979,02</w:t>
      </w:r>
      <w:r w:rsidR="006C2EC0">
        <w:rPr>
          <w:rFonts w:ascii="Times New Roman" w:hAnsi="Times New Roman" w:cs="Times New Roman"/>
          <w:sz w:val="24"/>
          <w:szCs w:val="24"/>
        </w:rPr>
        <w:t xml:space="preserve">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. To je početno stanje iskazano u Izvještajima o obvezama za sva razdoblja u 2022. godini.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stanja obveza u 2022, godini iznosi </w:t>
      </w:r>
      <w:r w:rsidR="00A80B41">
        <w:rPr>
          <w:rFonts w:ascii="Times New Roman" w:hAnsi="Times New Roman" w:cs="Times New Roman"/>
          <w:sz w:val="24"/>
          <w:szCs w:val="24"/>
        </w:rPr>
        <w:t>18.203.154,52</w:t>
      </w:r>
      <w:r>
        <w:rPr>
          <w:rFonts w:ascii="Times New Roman" w:hAnsi="Times New Roman" w:cs="Times New Roman"/>
          <w:sz w:val="24"/>
          <w:szCs w:val="24"/>
        </w:rPr>
        <w:t xml:space="preserve"> kune.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Podmirene obveze u 2022. godini iznose </w:t>
      </w:r>
      <w:r w:rsidR="00A80B41">
        <w:rPr>
          <w:rFonts w:ascii="Times New Roman" w:hAnsi="Times New Roman" w:cs="Times New Roman"/>
          <w:sz w:val="24"/>
          <w:szCs w:val="24"/>
        </w:rPr>
        <w:t>18.014.505,83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dan 31.12,2022. godine iznose </w:t>
      </w:r>
      <w:r w:rsidR="00A80B41">
        <w:rPr>
          <w:rFonts w:ascii="Times New Roman" w:hAnsi="Times New Roman" w:cs="Times New Roman"/>
          <w:sz w:val="24"/>
          <w:szCs w:val="24"/>
        </w:rPr>
        <w:t>1.559.627,71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dospijelih obveza iznosin 701.830,13 kuna i to za rashode poslovanja obveze iznose 446.846,83 kune, obveze za nabavku nefinancijske imovine iznose 254.983,30 kuna.</w:t>
      </w:r>
    </w:p>
    <w:p w:rsidR="003B7D78" w:rsidRPr="009746AE" w:rsidRDefault="006C2EC0" w:rsidP="006C2E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nedospijelih obveza iznosi </w:t>
      </w:r>
      <w:r w:rsidR="00A80B41">
        <w:rPr>
          <w:rFonts w:ascii="Times New Roman" w:hAnsi="Times New Roman" w:cs="Times New Roman"/>
          <w:sz w:val="24"/>
          <w:szCs w:val="24"/>
        </w:rPr>
        <w:t>857.797,58</w:t>
      </w:r>
      <w:r>
        <w:rPr>
          <w:rFonts w:ascii="Times New Roman" w:hAnsi="Times New Roman" w:cs="Times New Roman"/>
          <w:sz w:val="24"/>
          <w:szCs w:val="24"/>
        </w:rPr>
        <w:t xml:space="preserve"> kuna i to za rashode poslovanja iznose </w:t>
      </w:r>
      <w:r w:rsidR="00A80B41">
        <w:rPr>
          <w:rFonts w:ascii="Times New Roman" w:hAnsi="Times New Roman" w:cs="Times New Roman"/>
          <w:sz w:val="24"/>
          <w:szCs w:val="24"/>
        </w:rPr>
        <w:t>511.005,88</w:t>
      </w:r>
      <w:r>
        <w:rPr>
          <w:rFonts w:ascii="Times New Roman" w:hAnsi="Times New Roman" w:cs="Times New Roman"/>
          <w:sz w:val="24"/>
          <w:szCs w:val="24"/>
        </w:rPr>
        <w:t xml:space="preserve"> kune i obveze za nabavku nefinancijske imovine iznose 346.791,70 kuna.</w:t>
      </w: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P-VRIO: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lastRenderedPageBreak/>
        <w:t xml:space="preserve">U obrascu su prikazane promjene u vrijednosti i obujmu imovine i to iznos smanjenja </w:t>
      </w:r>
      <w:r w:rsidR="006C2EC0">
        <w:rPr>
          <w:rFonts w:ascii="Times New Roman" w:hAnsi="Times New Roman" w:cs="Times New Roman"/>
          <w:sz w:val="24"/>
          <w:szCs w:val="24"/>
        </w:rPr>
        <w:t>312.531,08 kuna. I</w:t>
      </w:r>
      <w:r w:rsidR="00D06C41">
        <w:rPr>
          <w:rFonts w:ascii="Times New Roman" w:hAnsi="Times New Roman" w:cs="Times New Roman"/>
          <w:sz w:val="24"/>
          <w:szCs w:val="24"/>
        </w:rPr>
        <w:t>znos smanjenja se odnosi na odobrenja po riješenjima za  plaćanje komunalnog doprinosa.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4FEA" w:rsidRPr="009746AE" w:rsidRDefault="00954FEA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D4E" w:rsidRDefault="00520D4E" w:rsidP="00520D4E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>
        <w:rPr>
          <w:b/>
          <w:sz w:val="24"/>
          <w:szCs w:val="24"/>
        </w:rPr>
        <w:t>2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Colas Varaždin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P-88/2019-30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1.795.980,72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Aldo Jurčević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P-276/2015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54.444,03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Marijan Barićević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P-2669/15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9.800,00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Fratres d.o.o.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OVR 65509/2019</w:t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9.000,00</w:t>
      </w: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Tuženik;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Mile Soldo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P-1356/17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1.000.000,00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Hrvatski telekom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P-181/20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300.000,00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20D4E" w:rsidRDefault="00520D4E" w:rsidP="00520D4E">
      <w:pPr>
        <w:rPr>
          <w:b/>
          <w:sz w:val="24"/>
          <w:szCs w:val="24"/>
        </w:rPr>
      </w:pPr>
    </w:p>
    <w:p w:rsidR="00764635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</w:t>
      </w:r>
    </w:p>
    <w:p w:rsidR="00520D4E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Novaković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Ivica Klanac</w:t>
      </w:r>
    </w:p>
    <w:p w:rsidR="00520D4E" w:rsidRPr="009746AE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odsjeka za proračun i financije</w:t>
      </w:r>
    </w:p>
    <w:sectPr w:rsidR="00520D4E" w:rsidRPr="009746AE" w:rsidSect="009746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D3" w:rsidRDefault="006B15D3" w:rsidP="00D06C41">
      <w:pPr>
        <w:spacing w:after="0" w:line="240" w:lineRule="auto"/>
      </w:pPr>
      <w:r>
        <w:separator/>
      </w:r>
    </w:p>
  </w:endnote>
  <w:endnote w:type="continuationSeparator" w:id="0">
    <w:p w:rsidR="006B15D3" w:rsidRDefault="006B15D3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D3" w:rsidRDefault="006B15D3" w:rsidP="00D06C41">
      <w:pPr>
        <w:spacing w:after="0" w:line="240" w:lineRule="auto"/>
      </w:pPr>
      <w:r>
        <w:separator/>
      </w:r>
    </w:p>
  </w:footnote>
  <w:footnote w:type="continuationSeparator" w:id="0">
    <w:p w:rsidR="006B15D3" w:rsidRDefault="006B15D3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3D84"/>
    <w:multiLevelType w:val="hybridMultilevel"/>
    <w:tmpl w:val="C4A47034"/>
    <w:lvl w:ilvl="0" w:tplc="E3ACD2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13141"/>
    <w:multiLevelType w:val="hybridMultilevel"/>
    <w:tmpl w:val="95B02800"/>
    <w:lvl w:ilvl="0" w:tplc="32E00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27D4"/>
    <w:rsid w:val="0000305C"/>
    <w:rsid w:val="000121F8"/>
    <w:rsid w:val="00013719"/>
    <w:rsid w:val="00016460"/>
    <w:rsid w:val="000317A0"/>
    <w:rsid w:val="0003378A"/>
    <w:rsid w:val="00046979"/>
    <w:rsid w:val="00047A87"/>
    <w:rsid w:val="000604BA"/>
    <w:rsid w:val="00061CC7"/>
    <w:rsid w:val="00072A3F"/>
    <w:rsid w:val="000735B2"/>
    <w:rsid w:val="00074A01"/>
    <w:rsid w:val="000924B7"/>
    <w:rsid w:val="000A63CD"/>
    <w:rsid w:val="000C191A"/>
    <w:rsid w:val="000E7FD0"/>
    <w:rsid w:val="000F1EC6"/>
    <w:rsid w:val="000F5BCD"/>
    <w:rsid w:val="00113DB1"/>
    <w:rsid w:val="0013595E"/>
    <w:rsid w:val="00147D7C"/>
    <w:rsid w:val="001610C0"/>
    <w:rsid w:val="00161BA7"/>
    <w:rsid w:val="0017236F"/>
    <w:rsid w:val="0017237F"/>
    <w:rsid w:val="0017477E"/>
    <w:rsid w:val="00177C3E"/>
    <w:rsid w:val="001978B7"/>
    <w:rsid w:val="001A106F"/>
    <w:rsid w:val="001B03E7"/>
    <w:rsid w:val="001C67DF"/>
    <w:rsid w:val="001D06A4"/>
    <w:rsid w:val="002023FD"/>
    <w:rsid w:val="00203A4E"/>
    <w:rsid w:val="00204BA8"/>
    <w:rsid w:val="00224084"/>
    <w:rsid w:val="00225DA8"/>
    <w:rsid w:val="002312DB"/>
    <w:rsid w:val="0024079C"/>
    <w:rsid w:val="002459CB"/>
    <w:rsid w:val="00246309"/>
    <w:rsid w:val="00260A3A"/>
    <w:rsid w:val="00262BFF"/>
    <w:rsid w:val="002648DB"/>
    <w:rsid w:val="002666ED"/>
    <w:rsid w:val="002905F6"/>
    <w:rsid w:val="002C019F"/>
    <w:rsid w:val="002C0A84"/>
    <w:rsid w:val="002C0C6E"/>
    <w:rsid w:val="002C104C"/>
    <w:rsid w:val="002C5D6A"/>
    <w:rsid w:val="002D4A65"/>
    <w:rsid w:val="003213CD"/>
    <w:rsid w:val="00327E3A"/>
    <w:rsid w:val="003304E8"/>
    <w:rsid w:val="00334D82"/>
    <w:rsid w:val="0034769A"/>
    <w:rsid w:val="00353764"/>
    <w:rsid w:val="0035698C"/>
    <w:rsid w:val="00357274"/>
    <w:rsid w:val="00377E5E"/>
    <w:rsid w:val="00383A26"/>
    <w:rsid w:val="00390F9B"/>
    <w:rsid w:val="00392EBC"/>
    <w:rsid w:val="003938BD"/>
    <w:rsid w:val="00395A6E"/>
    <w:rsid w:val="003A5186"/>
    <w:rsid w:val="003B1A5F"/>
    <w:rsid w:val="003B7D78"/>
    <w:rsid w:val="003B7D82"/>
    <w:rsid w:val="003C6E7C"/>
    <w:rsid w:val="003E36E4"/>
    <w:rsid w:val="003E7E33"/>
    <w:rsid w:val="003F1A0D"/>
    <w:rsid w:val="003F1B39"/>
    <w:rsid w:val="0040073C"/>
    <w:rsid w:val="00402CF6"/>
    <w:rsid w:val="00402E2D"/>
    <w:rsid w:val="004034DD"/>
    <w:rsid w:val="004042ED"/>
    <w:rsid w:val="004069C6"/>
    <w:rsid w:val="00406E79"/>
    <w:rsid w:val="00421E90"/>
    <w:rsid w:val="0044084C"/>
    <w:rsid w:val="00440D5E"/>
    <w:rsid w:val="00445EAD"/>
    <w:rsid w:val="0044699A"/>
    <w:rsid w:val="00460237"/>
    <w:rsid w:val="004668B0"/>
    <w:rsid w:val="00467766"/>
    <w:rsid w:val="00467DA6"/>
    <w:rsid w:val="004769AB"/>
    <w:rsid w:val="004878AD"/>
    <w:rsid w:val="004A2A3B"/>
    <w:rsid w:val="004B2DC2"/>
    <w:rsid w:val="004B60EB"/>
    <w:rsid w:val="004B73FB"/>
    <w:rsid w:val="004C0B66"/>
    <w:rsid w:val="004E3940"/>
    <w:rsid w:val="004E39C5"/>
    <w:rsid w:val="004E5C58"/>
    <w:rsid w:val="004F2232"/>
    <w:rsid w:val="00515CEA"/>
    <w:rsid w:val="005200E4"/>
    <w:rsid w:val="00520188"/>
    <w:rsid w:val="005205ED"/>
    <w:rsid w:val="00520D4E"/>
    <w:rsid w:val="005217CA"/>
    <w:rsid w:val="00523B43"/>
    <w:rsid w:val="005371CB"/>
    <w:rsid w:val="00552A88"/>
    <w:rsid w:val="00566A87"/>
    <w:rsid w:val="00574D58"/>
    <w:rsid w:val="005768B7"/>
    <w:rsid w:val="0058011F"/>
    <w:rsid w:val="00587661"/>
    <w:rsid w:val="005B361C"/>
    <w:rsid w:val="005B3B0B"/>
    <w:rsid w:val="005B3D05"/>
    <w:rsid w:val="005B4B70"/>
    <w:rsid w:val="005C206C"/>
    <w:rsid w:val="005C4D78"/>
    <w:rsid w:val="005D1511"/>
    <w:rsid w:val="005D6BCD"/>
    <w:rsid w:val="005E222D"/>
    <w:rsid w:val="005E2E66"/>
    <w:rsid w:val="005E33C7"/>
    <w:rsid w:val="005E6690"/>
    <w:rsid w:val="005F2E4B"/>
    <w:rsid w:val="00602213"/>
    <w:rsid w:val="00604C87"/>
    <w:rsid w:val="00607F77"/>
    <w:rsid w:val="006165E5"/>
    <w:rsid w:val="00640E5B"/>
    <w:rsid w:val="00655B76"/>
    <w:rsid w:val="0066396A"/>
    <w:rsid w:val="00664650"/>
    <w:rsid w:val="00664D8F"/>
    <w:rsid w:val="00674A5B"/>
    <w:rsid w:val="00675455"/>
    <w:rsid w:val="006801FF"/>
    <w:rsid w:val="006A5110"/>
    <w:rsid w:val="006B0744"/>
    <w:rsid w:val="006B15D3"/>
    <w:rsid w:val="006B5265"/>
    <w:rsid w:val="006C2EC0"/>
    <w:rsid w:val="006E2936"/>
    <w:rsid w:val="006E4542"/>
    <w:rsid w:val="006F6D19"/>
    <w:rsid w:val="006F7393"/>
    <w:rsid w:val="00706E81"/>
    <w:rsid w:val="0071644A"/>
    <w:rsid w:val="00722AEC"/>
    <w:rsid w:val="007348B4"/>
    <w:rsid w:val="00746558"/>
    <w:rsid w:val="007630FD"/>
    <w:rsid w:val="00764635"/>
    <w:rsid w:val="0077546F"/>
    <w:rsid w:val="00793819"/>
    <w:rsid w:val="007A75A8"/>
    <w:rsid w:val="007B2AB5"/>
    <w:rsid w:val="007D097F"/>
    <w:rsid w:val="007D3A39"/>
    <w:rsid w:val="007E4516"/>
    <w:rsid w:val="007F58AB"/>
    <w:rsid w:val="00804064"/>
    <w:rsid w:val="00810998"/>
    <w:rsid w:val="00817453"/>
    <w:rsid w:val="00820EC8"/>
    <w:rsid w:val="00823307"/>
    <w:rsid w:val="00837DFF"/>
    <w:rsid w:val="00840D7F"/>
    <w:rsid w:val="00843866"/>
    <w:rsid w:val="008475E4"/>
    <w:rsid w:val="00856C7C"/>
    <w:rsid w:val="00875FAD"/>
    <w:rsid w:val="00886CEE"/>
    <w:rsid w:val="008908EA"/>
    <w:rsid w:val="00893354"/>
    <w:rsid w:val="008A217D"/>
    <w:rsid w:val="008B1B22"/>
    <w:rsid w:val="008D0C2A"/>
    <w:rsid w:val="008D1641"/>
    <w:rsid w:val="008D7CCD"/>
    <w:rsid w:val="008F21C1"/>
    <w:rsid w:val="008F5AA2"/>
    <w:rsid w:val="009114FA"/>
    <w:rsid w:val="009159CD"/>
    <w:rsid w:val="0092198F"/>
    <w:rsid w:val="0094069C"/>
    <w:rsid w:val="00940A97"/>
    <w:rsid w:val="00950D6A"/>
    <w:rsid w:val="00951BCA"/>
    <w:rsid w:val="00953874"/>
    <w:rsid w:val="00954FEA"/>
    <w:rsid w:val="00972866"/>
    <w:rsid w:val="009746AE"/>
    <w:rsid w:val="009750A3"/>
    <w:rsid w:val="009760BF"/>
    <w:rsid w:val="009800B7"/>
    <w:rsid w:val="00980D85"/>
    <w:rsid w:val="00990909"/>
    <w:rsid w:val="009975C6"/>
    <w:rsid w:val="009B2D02"/>
    <w:rsid w:val="009B7855"/>
    <w:rsid w:val="009C5870"/>
    <w:rsid w:val="009D208D"/>
    <w:rsid w:val="009D474A"/>
    <w:rsid w:val="009D6D10"/>
    <w:rsid w:val="009E0D0B"/>
    <w:rsid w:val="009E2DC5"/>
    <w:rsid w:val="009F534D"/>
    <w:rsid w:val="00A041FD"/>
    <w:rsid w:val="00A05FA3"/>
    <w:rsid w:val="00A065F3"/>
    <w:rsid w:val="00A10E39"/>
    <w:rsid w:val="00A13FA7"/>
    <w:rsid w:val="00A20FEB"/>
    <w:rsid w:val="00A24182"/>
    <w:rsid w:val="00A24829"/>
    <w:rsid w:val="00A260B9"/>
    <w:rsid w:val="00A3268E"/>
    <w:rsid w:val="00A43BC8"/>
    <w:rsid w:val="00A47F18"/>
    <w:rsid w:val="00A57B83"/>
    <w:rsid w:val="00A6168A"/>
    <w:rsid w:val="00A72AD8"/>
    <w:rsid w:val="00A80B41"/>
    <w:rsid w:val="00A86469"/>
    <w:rsid w:val="00AB6CD0"/>
    <w:rsid w:val="00AC0846"/>
    <w:rsid w:val="00AC2F44"/>
    <w:rsid w:val="00AE79DE"/>
    <w:rsid w:val="00B001C2"/>
    <w:rsid w:val="00B015D1"/>
    <w:rsid w:val="00B024F1"/>
    <w:rsid w:val="00B03DBA"/>
    <w:rsid w:val="00B12D51"/>
    <w:rsid w:val="00B1308C"/>
    <w:rsid w:val="00B17190"/>
    <w:rsid w:val="00B24871"/>
    <w:rsid w:val="00B27485"/>
    <w:rsid w:val="00B36F2D"/>
    <w:rsid w:val="00B44ADE"/>
    <w:rsid w:val="00B71DEE"/>
    <w:rsid w:val="00B740AA"/>
    <w:rsid w:val="00B76EEA"/>
    <w:rsid w:val="00B806C6"/>
    <w:rsid w:val="00B85759"/>
    <w:rsid w:val="00BB5BFB"/>
    <w:rsid w:val="00BC2089"/>
    <w:rsid w:val="00BD15EB"/>
    <w:rsid w:val="00BD1FC9"/>
    <w:rsid w:val="00BE08DC"/>
    <w:rsid w:val="00BE6F65"/>
    <w:rsid w:val="00BF5218"/>
    <w:rsid w:val="00C26BF9"/>
    <w:rsid w:val="00C3395B"/>
    <w:rsid w:val="00C33BCA"/>
    <w:rsid w:val="00C463C7"/>
    <w:rsid w:val="00C47CE2"/>
    <w:rsid w:val="00C71877"/>
    <w:rsid w:val="00C72577"/>
    <w:rsid w:val="00C7423F"/>
    <w:rsid w:val="00C8190F"/>
    <w:rsid w:val="00C87BA0"/>
    <w:rsid w:val="00CA6B1D"/>
    <w:rsid w:val="00CB64F5"/>
    <w:rsid w:val="00CC1FF8"/>
    <w:rsid w:val="00CD50C7"/>
    <w:rsid w:val="00CE6EEB"/>
    <w:rsid w:val="00CF3E19"/>
    <w:rsid w:val="00D0202C"/>
    <w:rsid w:val="00D06C41"/>
    <w:rsid w:val="00D14470"/>
    <w:rsid w:val="00D151D0"/>
    <w:rsid w:val="00D1626A"/>
    <w:rsid w:val="00D173D2"/>
    <w:rsid w:val="00D314EE"/>
    <w:rsid w:val="00D3641C"/>
    <w:rsid w:val="00D4127D"/>
    <w:rsid w:val="00D65E0C"/>
    <w:rsid w:val="00D77465"/>
    <w:rsid w:val="00D91A61"/>
    <w:rsid w:val="00DB1169"/>
    <w:rsid w:val="00DE03F6"/>
    <w:rsid w:val="00DE1BD2"/>
    <w:rsid w:val="00DE7119"/>
    <w:rsid w:val="00DF6A8F"/>
    <w:rsid w:val="00E01ED1"/>
    <w:rsid w:val="00E10504"/>
    <w:rsid w:val="00E1377F"/>
    <w:rsid w:val="00E2011A"/>
    <w:rsid w:val="00E25C48"/>
    <w:rsid w:val="00E615F1"/>
    <w:rsid w:val="00E71E7A"/>
    <w:rsid w:val="00E75021"/>
    <w:rsid w:val="00E920B0"/>
    <w:rsid w:val="00EA0639"/>
    <w:rsid w:val="00EC01DE"/>
    <w:rsid w:val="00EC3F25"/>
    <w:rsid w:val="00EC7BC7"/>
    <w:rsid w:val="00ED2EE4"/>
    <w:rsid w:val="00ED77F3"/>
    <w:rsid w:val="00EE1E8D"/>
    <w:rsid w:val="00EE30E1"/>
    <w:rsid w:val="00EF7290"/>
    <w:rsid w:val="00EF7D6E"/>
    <w:rsid w:val="00F02BAE"/>
    <w:rsid w:val="00F03BE8"/>
    <w:rsid w:val="00F059D4"/>
    <w:rsid w:val="00F14198"/>
    <w:rsid w:val="00F175F1"/>
    <w:rsid w:val="00F17ED3"/>
    <w:rsid w:val="00F24357"/>
    <w:rsid w:val="00F4497C"/>
    <w:rsid w:val="00F5582E"/>
    <w:rsid w:val="00F618A5"/>
    <w:rsid w:val="00F95D8F"/>
    <w:rsid w:val="00F97121"/>
    <w:rsid w:val="00FA4C61"/>
    <w:rsid w:val="00FB3B2E"/>
    <w:rsid w:val="00FC2D13"/>
    <w:rsid w:val="00FE0060"/>
    <w:rsid w:val="00FE0DAC"/>
    <w:rsid w:val="00FE1421"/>
    <w:rsid w:val="00FF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2CF2"/>
  <w15:docId w15:val="{E3793A95-FD2C-422E-85EC-52B6DF90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AA2"/>
    <w:pPr>
      <w:spacing w:after="0" w:line="240" w:lineRule="auto"/>
    </w:pPr>
  </w:style>
  <w:style w:type="table" w:styleId="TableGrid">
    <w:name w:val="Table Grid"/>
    <w:basedOn w:val="TableNormal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B36F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0EC8"/>
    <w:rPr>
      <w:color w:val="800080"/>
      <w:u w:val="single"/>
    </w:rPr>
  </w:style>
  <w:style w:type="paragraph" w:customStyle="1" w:styleId="xl63">
    <w:name w:val="xl63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C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41"/>
  </w:style>
  <w:style w:type="paragraph" w:styleId="ListParagraph">
    <w:name w:val="List Paragraph"/>
    <w:basedOn w:val="Normal"/>
    <w:uiPriority w:val="34"/>
    <w:qFormat/>
    <w:rsid w:val="00B44AD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3661-9E1E-4976-9593-51A09A54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4111</Words>
  <Characters>23439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inovakovic</cp:lastModifiedBy>
  <cp:revision>2</cp:revision>
  <cp:lastPrinted>2023-02-15T11:39:00Z</cp:lastPrinted>
  <dcterms:created xsi:type="dcterms:W3CDTF">2023-02-20T10:00:00Z</dcterms:created>
  <dcterms:modified xsi:type="dcterms:W3CDTF">2023-02-20T10:00:00Z</dcterms:modified>
</cp:coreProperties>
</file>