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55" w:rsidRPr="003E21AE" w:rsidRDefault="000F5D55" w:rsidP="000F5D55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REPUBLIKA HRVATSKA</w:t>
      </w:r>
    </w:p>
    <w:p w:rsidR="000F5D55" w:rsidRPr="003E21AE" w:rsidRDefault="000F5D55" w:rsidP="000F5D55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ŽUPANIJA ZADARSKA</w:t>
      </w:r>
    </w:p>
    <w:p w:rsidR="000F5D55" w:rsidRPr="003E21AE" w:rsidRDefault="000F5D55" w:rsidP="000F5D55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OPĆINA POSEDARJE</w:t>
      </w:r>
    </w:p>
    <w:p w:rsidR="000F5D55" w:rsidRPr="003E21AE" w:rsidRDefault="00E54220" w:rsidP="000F5D55">
      <w:pPr>
        <w:pStyle w:val="Head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J</w:t>
      </w:r>
      <w:r w:rsidR="000F5D55" w:rsidRPr="003E21AE">
        <w:rPr>
          <w:b/>
          <w:sz w:val="24"/>
          <w:szCs w:val="24"/>
          <w:lang w:val="de-DE"/>
        </w:rPr>
        <w:t>edinstveni upravni odjel</w:t>
      </w:r>
    </w:p>
    <w:p w:rsidR="00E54220" w:rsidRDefault="000F5D55" w:rsidP="000F5D55">
      <w:pPr>
        <w:pStyle w:val="Header"/>
        <w:rPr>
          <w:b/>
          <w:sz w:val="24"/>
          <w:szCs w:val="24"/>
          <w:lang w:val="de-DE"/>
        </w:rPr>
      </w:pPr>
      <w:r w:rsidRPr="003E21AE">
        <w:rPr>
          <w:b/>
          <w:sz w:val="24"/>
          <w:szCs w:val="24"/>
          <w:lang w:val="de-DE"/>
        </w:rPr>
        <w:t>KLASA:</w:t>
      </w:r>
      <w:r w:rsidR="00E54220">
        <w:rPr>
          <w:b/>
          <w:sz w:val="24"/>
          <w:szCs w:val="24"/>
          <w:lang w:val="de-DE"/>
        </w:rPr>
        <w:t>400-01/25-01/01</w:t>
      </w:r>
    </w:p>
    <w:p w:rsidR="00E54220" w:rsidRDefault="00E54220" w:rsidP="000F5D55">
      <w:pPr>
        <w:pStyle w:val="Head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URBROJ:2198-7-2/1-25-01</w:t>
      </w:r>
    </w:p>
    <w:p w:rsidR="00E54220" w:rsidRDefault="00E54220" w:rsidP="000F5D55">
      <w:pPr>
        <w:pStyle w:val="Head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Posedarje, 12.02.2025.godine.</w:t>
      </w:r>
      <w:bookmarkStart w:id="0" w:name="_GoBack"/>
      <w:bookmarkEnd w:id="0"/>
    </w:p>
    <w:p w:rsidR="00E54220" w:rsidRDefault="00E54220" w:rsidP="000F5D55">
      <w:pPr>
        <w:pStyle w:val="Header"/>
        <w:rPr>
          <w:b/>
          <w:sz w:val="24"/>
          <w:szCs w:val="24"/>
          <w:lang w:val="de-DE"/>
        </w:rPr>
      </w:pPr>
    </w:p>
    <w:p w:rsidR="000F5D55" w:rsidRPr="007F58AB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Pr="007F58AB" w:rsidRDefault="000F5D55" w:rsidP="000F5D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0F5D55" w:rsidRPr="007F58AB" w:rsidRDefault="000F5D55" w:rsidP="000F5D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razdoblje od 01. siječnja do 31. prosinca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F58AB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0F5D55" w:rsidRPr="007F58AB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5D55" w:rsidRPr="007F58AB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5D55" w:rsidRPr="007F58AB" w:rsidRDefault="000F5D55" w:rsidP="000F5D5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PODACI O OBVEZNIKU</w:t>
      </w:r>
      <w:r w:rsidRPr="007F58AB">
        <w:rPr>
          <w:rFonts w:ascii="Times New Roman" w:hAnsi="Times New Roman" w:cs="Times New Roman"/>
          <w:b/>
          <w:sz w:val="26"/>
          <w:szCs w:val="26"/>
        </w:rPr>
        <w:t>: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OIB: 26599619939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Matični broj:02547520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RKP-a:35038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općine: 349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Razina: 22 – Proračun jedinice lokalne i područne (regionalne) samouprave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Razdjel: 000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djelatnosti: 8411 – Opće djelatnosti javne uprave</w:t>
      </w:r>
    </w:p>
    <w:p w:rsidR="000F5D55" w:rsidRPr="00246309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računa: HR1223900011834900004</w:t>
      </w:r>
    </w:p>
    <w:p w:rsidR="000F5D55" w:rsidRPr="009746AE" w:rsidRDefault="000F5D55" w:rsidP="000F5D5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PR-RAS</w:t>
      </w:r>
    </w:p>
    <w:p w:rsidR="000F5D55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F5D55" w:rsidRPr="009746AE" w:rsidTr="00C40107">
        <w:tc>
          <w:tcPr>
            <w:tcW w:w="3968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1.423.959,93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1.807.745,86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621.978,42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612.424,00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64 Prihodi od imovine 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74.019,99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74.091,88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621.754,91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599.820,28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66 Prihodi od prodaje proizvoda i robe te pruženih usluga i prihodi od donacija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11.964,96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10.620,78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Kazne, upravne mjere o ostali prihodi</w:t>
            </w:r>
          </w:p>
        </w:tc>
        <w:tc>
          <w:tcPr>
            <w:tcW w:w="2266" w:type="dxa"/>
          </w:tcPr>
          <w:p w:rsidR="000F5D55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9.342,75</w:t>
            </w:r>
          </w:p>
        </w:tc>
        <w:tc>
          <w:tcPr>
            <w:tcW w:w="2266" w:type="dxa"/>
          </w:tcPr>
          <w:p w:rsidR="000F5D55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6.060,04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2.763.020,96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3.110.762,84</w:t>
            </w:r>
          </w:p>
        </w:tc>
      </w:tr>
    </w:tbl>
    <w:p w:rsidR="000F5D55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611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Porez i prirez na dohodak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i prirez na dohodak  ostvaren je u u iznosu od </w:t>
      </w:r>
      <w:r w:rsidR="00C64C1C">
        <w:rPr>
          <w:rFonts w:ascii="Times New Roman" w:hAnsi="Times New Roman" w:cs="Times New Roman"/>
          <w:sz w:val="24"/>
          <w:szCs w:val="24"/>
        </w:rPr>
        <w:t xml:space="preserve"> 1.163,718,61</w:t>
      </w:r>
      <w:r>
        <w:rPr>
          <w:rFonts w:ascii="Times New Roman" w:hAnsi="Times New Roman" w:cs="Times New Roman"/>
          <w:sz w:val="24"/>
          <w:szCs w:val="24"/>
        </w:rPr>
        <w:t xml:space="preserve"> eura  i index porasta u odnosu na izvršenje prethodne godine je 12</w:t>
      </w:r>
      <w:r w:rsidR="00C64C1C">
        <w:rPr>
          <w:rFonts w:ascii="Times New Roman" w:hAnsi="Times New Roman" w:cs="Times New Roman"/>
          <w:sz w:val="24"/>
          <w:szCs w:val="24"/>
        </w:rPr>
        <w:t>3,3</w:t>
      </w:r>
      <w:r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</w:t>
      </w:r>
      <w:r w:rsidR="00C64C1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Porez na imovinu</w:t>
      </w:r>
    </w:p>
    <w:p w:rsidR="00C64C1C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kuće za odmor </w:t>
      </w:r>
      <w:r w:rsidR="00C64C1C">
        <w:rPr>
          <w:rFonts w:ascii="Times New Roman" w:hAnsi="Times New Roman" w:cs="Times New Roman"/>
          <w:sz w:val="24"/>
          <w:szCs w:val="24"/>
        </w:rPr>
        <w:t>ostvaren u iznosu od 292.478,56 eura i index izvršenja u odnosu na 2023.godinu je 262,1%. U 2024.godini povećan je iznos poreza po metru kvadratnom s 1,99 eura na 4,99 eura što je dovelo do povećanje istih prihoda.</w:t>
      </w:r>
    </w:p>
    <w:p w:rsidR="00C64C1C" w:rsidRDefault="00C64C1C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4C1C" w:rsidRDefault="00C64C1C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1C">
        <w:rPr>
          <w:rFonts w:ascii="Times New Roman" w:hAnsi="Times New Roman" w:cs="Times New Roman"/>
          <w:b/>
          <w:sz w:val="24"/>
          <w:szCs w:val="24"/>
        </w:rPr>
        <w:t>Šifra 6142 Porez na promet</w:t>
      </w:r>
    </w:p>
    <w:p w:rsidR="00AB3015" w:rsidRDefault="00C64C1C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</w:t>
      </w:r>
      <w:r w:rsidRPr="00C64C1C">
        <w:rPr>
          <w:rFonts w:ascii="Times New Roman" w:hAnsi="Times New Roman" w:cs="Times New Roman"/>
          <w:sz w:val="24"/>
          <w:szCs w:val="24"/>
        </w:rPr>
        <w:t>ovi odnose se na porez na potrošnju alkoholnih i beza</w:t>
      </w:r>
      <w:r>
        <w:rPr>
          <w:rFonts w:ascii="Times New Roman" w:hAnsi="Times New Roman" w:cs="Times New Roman"/>
          <w:sz w:val="24"/>
          <w:szCs w:val="24"/>
        </w:rPr>
        <w:t>lkoholnih pića i ostvaren je u iznosu od 17.838,34 eura i index izvršenja u odnosu na iz</w:t>
      </w:r>
      <w:r w:rsidR="00AB3015">
        <w:rPr>
          <w:rFonts w:ascii="Times New Roman" w:hAnsi="Times New Roman" w:cs="Times New Roman"/>
          <w:sz w:val="24"/>
          <w:szCs w:val="24"/>
        </w:rPr>
        <w:t>vršenje 2023. godine je 153,1%.</w:t>
      </w:r>
    </w:p>
    <w:p w:rsidR="00AB3015" w:rsidRPr="00D265EB" w:rsidRDefault="00AB301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tog poreza ukazuje na povećanu potrošnju i bolju naplatu prihoda.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039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4039">
        <w:rPr>
          <w:rFonts w:ascii="Times New Roman" w:hAnsi="Times New Roman" w:cs="Times New Roman"/>
          <w:b/>
          <w:sz w:val="24"/>
          <w:szCs w:val="24"/>
        </w:rPr>
        <w:t>Šifra 6332 Kapitalne pomoći proračunu iz drugih proračuna</w:t>
      </w:r>
      <w:r w:rsidRPr="004315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ostvarene su u iznosu od </w:t>
      </w:r>
      <w:r w:rsidR="00944039">
        <w:rPr>
          <w:rFonts w:ascii="Times New Roman" w:hAnsi="Times New Roman" w:cs="Times New Roman"/>
          <w:sz w:val="24"/>
          <w:szCs w:val="24"/>
        </w:rPr>
        <w:t>38.396,66 i ostvarene su u manjem iznosu nego u 2023.godini.</w:t>
      </w:r>
      <w:r w:rsidR="00BA3492">
        <w:rPr>
          <w:rFonts w:ascii="Times New Roman" w:hAnsi="Times New Roman" w:cs="Times New Roman"/>
          <w:sz w:val="24"/>
          <w:szCs w:val="24"/>
        </w:rPr>
        <w:t xml:space="preserve"> U 2024.godini dobivena je pomoć od 14.796,66 eura od Fonda za zaštitu okliliša za projekt izobra</w:t>
      </w:r>
      <w:r w:rsidR="00D265EB">
        <w:rPr>
          <w:rFonts w:ascii="Times New Roman" w:hAnsi="Times New Roman" w:cs="Times New Roman"/>
          <w:sz w:val="24"/>
          <w:szCs w:val="24"/>
        </w:rPr>
        <w:t>zne aktivnosti za zaštitu okoliša te 23.600,00 eura od Ministarstva prostornog uređenja, graditeljstva i državne imovine za nabavku komunalne čistilice.</w:t>
      </w:r>
    </w:p>
    <w:p w:rsidR="00FE05BF" w:rsidRDefault="00FE05BF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05BF" w:rsidRDefault="00FE05BF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5BF">
        <w:rPr>
          <w:rFonts w:ascii="Times New Roman" w:hAnsi="Times New Roman" w:cs="Times New Roman"/>
          <w:b/>
          <w:sz w:val="24"/>
          <w:szCs w:val="24"/>
        </w:rPr>
        <w:t>Šifra 6381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5BF">
        <w:rPr>
          <w:rFonts w:ascii="Times New Roman" w:hAnsi="Times New Roman" w:cs="Times New Roman"/>
          <w:b/>
          <w:sz w:val="24"/>
          <w:szCs w:val="24"/>
        </w:rPr>
        <w:t>Tekuće pomoći temeljem prijenosa EU sredstava</w:t>
      </w:r>
    </w:p>
    <w:p w:rsidR="00FE05BF" w:rsidRPr="00C268D1" w:rsidRDefault="00FE05BF" w:rsidP="00C26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68D1">
        <w:rPr>
          <w:rFonts w:ascii="Times New Roman" w:hAnsi="Times New Roman" w:cs="Times New Roman"/>
          <w:sz w:val="24"/>
          <w:szCs w:val="24"/>
        </w:rPr>
        <w:t>Prihodi</w:t>
      </w:r>
      <w:r w:rsidR="00C268D1" w:rsidRPr="00C268D1">
        <w:rPr>
          <w:rFonts w:ascii="Times New Roman" w:hAnsi="Times New Roman" w:cs="Times New Roman"/>
          <w:sz w:val="24"/>
          <w:szCs w:val="24"/>
        </w:rPr>
        <w:t xml:space="preserve"> po</w:t>
      </w:r>
      <w:r w:rsidRPr="00C268D1">
        <w:rPr>
          <w:rFonts w:ascii="Times New Roman" w:hAnsi="Times New Roman" w:cs="Times New Roman"/>
          <w:sz w:val="24"/>
          <w:szCs w:val="24"/>
        </w:rPr>
        <w:t xml:space="preserve"> ovoj osnovi ostvareni su u iz</w:t>
      </w:r>
      <w:r w:rsidR="005E7A43" w:rsidRPr="00C268D1">
        <w:rPr>
          <w:rFonts w:ascii="Times New Roman" w:hAnsi="Times New Roman" w:cs="Times New Roman"/>
          <w:sz w:val="24"/>
          <w:szCs w:val="24"/>
        </w:rPr>
        <w:t xml:space="preserve">nosu od </w:t>
      </w:r>
      <w:r w:rsidR="00A95683" w:rsidRPr="00C268D1">
        <w:rPr>
          <w:rFonts w:ascii="Times New Roman" w:hAnsi="Times New Roman" w:cs="Times New Roman"/>
          <w:sz w:val="24"/>
          <w:szCs w:val="24"/>
        </w:rPr>
        <w:t xml:space="preserve">106.496,07 eura a odnose se na pomoć u iznosu od </w:t>
      </w:r>
      <w:r w:rsidR="00C268D1" w:rsidRPr="00C268D1">
        <w:rPr>
          <w:rFonts w:ascii="Times New Roman" w:hAnsi="Times New Roman" w:cs="Times New Roman"/>
          <w:sz w:val="24"/>
          <w:szCs w:val="24"/>
        </w:rPr>
        <w:t>72.301,78  za provedb</w:t>
      </w:r>
      <w:r w:rsidR="00AB3015">
        <w:rPr>
          <w:rFonts w:ascii="Times New Roman" w:hAnsi="Times New Roman" w:cs="Times New Roman"/>
          <w:sz w:val="24"/>
          <w:szCs w:val="24"/>
        </w:rPr>
        <w:t>u</w:t>
      </w:r>
      <w:r w:rsidR="00C268D1" w:rsidRPr="00C268D1">
        <w:rPr>
          <w:rFonts w:ascii="Times New Roman" w:hAnsi="Times New Roman" w:cs="Times New Roman"/>
          <w:sz w:val="24"/>
          <w:szCs w:val="24"/>
        </w:rPr>
        <w:t xml:space="preserve"> projekta "Igra valova"</w:t>
      </w:r>
      <w:r w:rsidR="00C268D1">
        <w:rPr>
          <w:rFonts w:ascii="Times New Roman" w:hAnsi="Times New Roman" w:cs="Times New Roman"/>
          <w:sz w:val="24"/>
          <w:szCs w:val="24"/>
        </w:rPr>
        <w:t xml:space="preserve"> te 34.194,29 eura za sufinanciranje projekta Zaželi-Zlatne ruke.</w:t>
      </w: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5EB">
        <w:rPr>
          <w:rFonts w:ascii="Times New Roman" w:hAnsi="Times New Roman" w:cs="Times New Roman"/>
          <w:b/>
          <w:sz w:val="24"/>
          <w:szCs w:val="24"/>
        </w:rPr>
        <w:t>Šifra 6413 Kamate na oročena sredstva i depozite po viđenju</w:t>
      </w: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65EB">
        <w:rPr>
          <w:rFonts w:ascii="Times New Roman" w:hAnsi="Times New Roman" w:cs="Times New Roman"/>
          <w:sz w:val="24"/>
          <w:szCs w:val="24"/>
        </w:rPr>
        <w:t xml:space="preserve">Prihodi po ovoj osonovi ostvareni su u iznosu od 29,24 i </w:t>
      </w:r>
      <w:r>
        <w:rPr>
          <w:rFonts w:ascii="Times New Roman" w:hAnsi="Times New Roman" w:cs="Times New Roman"/>
          <w:sz w:val="24"/>
          <w:szCs w:val="24"/>
        </w:rPr>
        <w:t>ostvareni su u manjem iznosu negu u 2023. godini.</w:t>
      </w: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65EB">
        <w:rPr>
          <w:rFonts w:ascii="Times New Roman" w:hAnsi="Times New Roman" w:cs="Times New Roman"/>
          <w:b/>
          <w:sz w:val="24"/>
          <w:szCs w:val="24"/>
        </w:rPr>
        <w:t>Šifra 6414 Prihodi od za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D265EB">
        <w:rPr>
          <w:rFonts w:ascii="Times New Roman" w:hAnsi="Times New Roman" w:cs="Times New Roman"/>
          <w:b/>
          <w:sz w:val="24"/>
          <w:szCs w:val="24"/>
        </w:rPr>
        <w:t>eznih kamata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913,50 eura i manji su nego u 2023. godini radi manje prokrenutih postupaka prisline naplate u kojima je bila obračunata i zatezna kamata za neplaćanje dugovanja obveznika.</w:t>
      </w: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5EB" w:rsidRPr="00DA5CE5" w:rsidRDefault="00D265EB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CE5">
        <w:rPr>
          <w:rFonts w:ascii="Times New Roman" w:hAnsi="Times New Roman" w:cs="Times New Roman"/>
          <w:b/>
          <w:sz w:val="24"/>
          <w:szCs w:val="24"/>
        </w:rPr>
        <w:t>Šifra 6423 Naknada za korištenje nefinancijske imovine</w:t>
      </w:r>
    </w:p>
    <w:p w:rsidR="00D265EB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sredstva od spomeni</w:t>
      </w:r>
      <w:r w:rsidR="00DA5CE5">
        <w:rPr>
          <w:rFonts w:ascii="Times New Roman" w:hAnsi="Times New Roman" w:cs="Times New Roman"/>
          <w:sz w:val="24"/>
          <w:szCs w:val="24"/>
        </w:rPr>
        <w:t>čke rente koja je ostvarena u iznosu od 11,18 eura i ostvarena je u većem iznosu engo u 2023. godini.</w:t>
      </w:r>
    </w:p>
    <w:p w:rsidR="00DA5CE5" w:rsidRDefault="00DA5CE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5CE5" w:rsidRDefault="00DA5CE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5CE5">
        <w:rPr>
          <w:rFonts w:ascii="Times New Roman" w:hAnsi="Times New Roman" w:cs="Times New Roman"/>
          <w:b/>
          <w:sz w:val="24"/>
          <w:szCs w:val="24"/>
        </w:rPr>
        <w:t>Šifra 6429 Ostali prihodi od nefinancijske imovine</w:t>
      </w:r>
      <w:r>
        <w:rPr>
          <w:rFonts w:ascii="Times New Roman" w:hAnsi="Times New Roman" w:cs="Times New Roman"/>
          <w:sz w:val="24"/>
          <w:szCs w:val="24"/>
        </w:rPr>
        <w:t xml:space="preserve"> odnose se na prihode od naknade za legalizaciju koja je ostvarena u iznosu od 475,26 eura i ostvarena je u m</w:t>
      </w:r>
      <w:r w:rsidR="00C268D1">
        <w:rPr>
          <w:rFonts w:ascii="Times New Roman" w:hAnsi="Times New Roman" w:cs="Times New Roman"/>
          <w:sz w:val="24"/>
          <w:szCs w:val="24"/>
        </w:rPr>
        <w:t>anjem iznosu nego u 2023.godini jer je nelegaliziranih objekata sve manje.</w:t>
      </w:r>
    </w:p>
    <w:p w:rsidR="00DA5CE5" w:rsidRDefault="00DA5CE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5CE5" w:rsidRPr="00DA5CE5" w:rsidRDefault="00DA5CE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5CE5">
        <w:rPr>
          <w:rFonts w:ascii="Times New Roman" w:hAnsi="Times New Roman" w:cs="Times New Roman"/>
          <w:b/>
          <w:sz w:val="24"/>
          <w:szCs w:val="24"/>
        </w:rPr>
        <w:t>Šifra 6513 Ostale upravne pristojbe i naknade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5CE5">
        <w:rPr>
          <w:rFonts w:ascii="Times New Roman" w:hAnsi="Times New Roman" w:cs="Times New Roman"/>
          <w:sz w:val="24"/>
          <w:szCs w:val="24"/>
        </w:rPr>
        <w:t>ostvarene su u iznosu od 94,07 eura</w:t>
      </w:r>
      <w:r>
        <w:rPr>
          <w:rFonts w:ascii="Times New Roman" w:hAnsi="Times New Roman" w:cs="Times New Roman"/>
          <w:sz w:val="24"/>
          <w:szCs w:val="24"/>
        </w:rPr>
        <w:t xml:space="preserve"> a odnose se na prihode od prodaje državnih biljega ostvareni su u većem iznosu nego u 2023.godini.</w:t>
      </w:r>
    </w:p>
    <w:p w:rsidR="000F5D55" w:rsidRPr="00DA5CE5" w:rsidRDefault="00D265EB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5CE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268D1" w:rsidRDefault="00C268D1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D1" w:rsidRDefault="00C268D1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D1" w:rsidRDefault="00C268D1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6522 Prihodi vodnog gospodarstva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 8 posto vodnog doprinosa naplaćenog na području Općine </w:t>
      </w:r>
      <w:r>
        <w:rPr>
          <w:rFonts w:ascii="Times New Roman" w:hAnsi="Times New Roman" w:cs="Times New Roman"/>
          <w:sz w:val="24"/>
          <w:szCs w:val="24"/>
        </w:rPr>
        <w:t>Posedarje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kojeg doznačavaju Hrvatske vode sukladno Zakonu o financiranju vodnog gospodarstva i iznosi </w:t>
      </w:r>
      <w:r w:rsidR="00DA5CE5">
        <w:rPr>
          <w:rFonts w:ascii="Times New Roman" w:hAnsi="Times New Roman" w:cs="Times New Roman"/>
          <w:sz w:val="24"/>
          <w:szCs w:val="24"/>
        </w:rPr>
        <w:t>542,28 ostvareni su u većem iznosu nego u 2023.godini.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2" w:rsidRDefault="00FC5BF2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6526 Ostali nespomenuti prihodi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DA5CE5">
        <w:rPr>
          <w:rFonts w:ascii="Times New Roman" w:hAnsi="Times New Roman" w:cs="Times New Roman"/>
          <w:sz w:val="24"/>
          <w:szCs w:val="24"/>
        </w:rPr>
        <w:t>18.473,08</w:t>
      </w:r>
      <w:r>
        <w:rPr>
          <w:rFonts w:ascii="Times New Roman" w:hAnsi="Times New Roman" w:cs="Times New Roman"/>
          <w:sz w:val="24"/>
          <w:szCs w:val="24"/>
        </w:rPr>
        <w:t xml:space="preserve"> eura i izvršeni su </w:t>
      </w:r>
      <w:r w:rsidR="00DA5CE5">
        <w:rPr>
          <w:rFonts w:ascii="Times New Roman" w:hAnsi="Times New Roman" w:cs="Times New Roman"/>
          <w:sz w:val="24"/>
          <w:szCs w:val="24"/>
        </w:rPr>
        <w:t>nešto većem iznosu nego u 2023. godini</w:t>
      </w:r>
      <w:r>
        <w:rPr>
          <w:rFonts w:ascii="Times New Roman" w:hAnsi="Times New Roman" w:cs="Times New Roman"/>
          <w:sz w:val="24"/>
          <w:szCs w:val="24"/>
        </w:rPr>
        <w:t xml:space="preserve"> a odnose se na prihode od  sufinanciranja potroška vode s hidranata s kojih se opskrbljuju mještani koji nisu priključeni na vodovodnu mrežu. </w:t>
      </w:r>
    </w:p>
    <w:p w:rsidR="00DA5CE5" w:rsidRDefault="00DA5CE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Šifra 6531 Komunalni doprinosi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DA5CE5">
        <w:rPr>
          <w:rFonts w:ascii="Times New Roman" w:hAnsi="Times New Roman" w:cs="Times New Roman"/>
          <w:sz w:val="24"/>
          <w:szCs w:val="24"/>
        </w:rPr>
        <w:t>iznosu od 290.749,46 e</w:t>
      </w:r>
      <w:r w:rsidR="00C268D1">
        <w:rPr>
          <w:rFonts w:ascii="Times New Roman" w:hAnsi="Times New Roman" w:cs="Times New Roman"/>
          <w:sz w:val="24"/>
          <w:szCs w:val="24"/>
        </w:rPr>
        <w:t>ura</w:t>
      </w:r>
      <w:r w:rsidR="00DA5CE5">
        <w:rPr>
          <w:rFonts w:ascii="Times New Roman" w:hAnsi="Times New Roman" w:cs="Times New Roman"/>
          <w:sz w:val="24"/>
          <w:szCs w:val="24"/>
        </w:rPr>
        <w:t xml:space="preserve"> i ostvareni su u većem iznosu nego u 2023.godini</w:t>
      </w:r>
      <w:r w:rsidR="007B4400">
        <w:rPr>
          <w:rFonts w:ascii="Times New Roman" w:hAnsi="Times New Roman" w:cs="Times New Roman"/>
          <w:sz w:val="24"/>
          <w:szCs w:val="24"/>
        </w:rPr>
        <w:t xml:space="preserve"> radi većeg broja izdanih rješenja o komunalnom doprinosu i radi naplaćenih potraživanja za komunalni doprinos iz prethodnih godina. </w:t>
      </w:r>
    </w:p>
    <w:p w:rsidR="007B4400" w:rsidRDefault="007B4400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6532 Komunalna naknada</w:t>
      </w:r>
    </w:p>
    <w:p w:rsidR="007B4400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osnovni ostvareni su</w:t>
      </w:r>
      <w:r w:rsidR="00C268D1">
        <w:rPr>
          <w:rFonts w:ascii="Times New Roman" w:hAnsi="Times New Roman" w:cs="Times New Roman"/>
          <w:sz w:val="24"/>
          <w:szCs w:val="24"/>
        </w:rPr>
        <w:t xml:space="preserve"> u iznosu od 239.523,69 što je manje nego u 2023. godini</w:t>
      </w:r>
      <w:r w:rsidR="007B4400">
        <w:rPr>
          <w:rFonts w:ascii="Times New Roman" w:hAnsi="Times New Roman" w:cs="Times New Roman"/>
          <w:sz w:val="24"/>
          <w:szCs w:val="24"/>
        </w:rPr>
        <w:t xml:space="preserve"> jer je Općinsko vijeće donijelo odluku o smanjenju vrijednosti boda za obračun komunalne naknade pa je shodno s tim ostvareno znatno manje prihoda od komunalne naknade.</w:t>
      </w:r>
    </w:p>
    <w:p w:rsidR="000F5D55" w:rsidRDefault="007B4400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6615 Prihod od pruženih usluga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</w:t>
      </w:r>
      <w:r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7B4400">
        <w:rPr>
          <w:rFonts w:ascii="Times New Roman" w:hAnsi="Times New Roman" w:cs="Times New Roman"/>
          <w:sz w:val="24"/>
          <w:szCs w:val="24"/>
        </w:rPr>
        <w:t>10.620,78</w:t>
      </w:r>
      <w:r>
        <w:rPr>
          <w:rFonts w:ascii="Times New Roman" w:hAnsi="Times New Roman" w:cs="Times New Roman"/>
          <w:sz w:val="24"/>
          <w:szCs w:val="24"/>
        </w:rPr>
        <w:t xml:space="preserve"> eura a </w:t>
      </w:r>
      <w:r w:rsidRPr="009746AE">
        <w:rPr>
          <w:rFonts w:ascii="Times New Roman" w:hAnsi="Times New Roman" w:cs="Times New Roman"/>
          <w:sz w:val="24"/>
          <w:szCs w:val="24"/>
        </w:rPr>
        <w:t xml:space="preserve">odnose se na sredstva naplate od Hrvatskih voda u iznosu od 10 posto uplaćene naknade za uređenje voda te </w:t>
      </w:r>
      <w:r>
        <w:rPr>
          <w:rFonts w:ascii="Times New Roman" w:hAnsi="Times New Roman" w:cs="Times New Roman"/>
          <w:sz w:val="24"/>
          <w:szCs w:val="24"/>
        </w:rPr>
        <w:t xml:space="preserve">materijalne troškove.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68</w:t>
      </w:r>
      <w:r>
        <w:rPr>
          <w:rFonts w:ascii="Times New Roman" w:hAnsi="Times New Roman" w:cs="Times New Roman"/>
          <w:b/>
          <w:sz w:val="24"/>
          <w:szCs w:val="24"/>
        </w:rPr>
        <w:t>19 Ostale kazne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komunalni pogon Općine Posedarje vrši u ljetnom periodu naplatu parkirnih mjesta. Ostale kazne ostvarene su u iznosu od </w:t>
      </w:r>
      <w:r w:rsidR="007B4400">
        <w:rPr>
          <w:rFonts w:ascii="Times New Roman" w:hAnsi="Times New Roman" w:cs="Times New Roman"/>
          <w:sz w:val="24"/>
          <w:szCs w:val="24"/>
        </w:rPr>
        <w:t>308,73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3E62C8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E62C8">
        <w:rPr>
          <w:rFonts w:ascii="Times New Roman" w:hAnsi="Times New Roman" w:cs="Times New Roman"/>
          <w:b/>
          <w:sz w:val="24"/>
          <w:szCs w:val="24"/>
        </w:rPr>
        <w:t xml:space="preserve">Šifra 683 Ostali prihodi </w:t>
      </w:r>
      <w:r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7B4400">
        <w:rPr>
          <w:rFonts w:ascii="Times New Roman" w:hAnsi="Times New Roman" w:cs="Times New Roman"/>
          <w:sz w:val="24"/>
          <w:szCs w:val="24"/>
        </w:rPr>
        <w:t xml:space="preserve">5.751,31 </w:t>
      </w:r>
      <w:r>
        <w:rPr>
          <w:rFonts w:ascii="Times New Roman" w:hAnsi="Times New Roman" w:cs="Times New Roman"/>
          <w:sz w:val="24"/>
          <w:szCs w:val="24"/>
        </w:rPr>
        <w:t xml:space="preserve">na obračunate sudske troškove prilikom prisilne naplate </w:t>
      </w:r>
      <w:r w:rsidR="007B4400">
        <w:rPr>
          <w:rFonts w:ascii="Times New Roman" w:hAnsi="Times New Roman" w:cs="Times New Roman"/>
          <w:sz w:val="24"/>
          <w:szCs w:val="24"/>
        </w:rPr>
        <w:t>komunalnog doprinosa te povrat od HEP Elektre.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F5D55" w:rsidRPr="009746AE" w:rsidTr="00C40107">
        <w:tc>
          <w:tcPr>
            <w:tcW w:w="3968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F5D55" w:rsidRPr="009746AE" w:rsidRDefault="007B4400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F5D55" w:rsidRPr="009746AE" w:rsidRDefault="007B4400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66" w:type="dxa"/>
          </w:tcPr>
          <w:p w:rsidR="000F5D55" w:rsidRPr="009746AE" w:rsidRDefault="007B4400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344.451,19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476.897,14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66" w:type="dxa"/>
          </w:tcPr>
          <w:p w:rsidR="000F5D55" w:rsidRPr="009746AE" w:rsidRDefault="007B4400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1.396.327,49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1.627.940,76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34 Financijski rashodi  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6.909,34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5.681,74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294.475,31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353.050,19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i/>
                <w:sz w:val="24"/>
                <w:szCs w:val="24"/>
              </w:rPr>
              <w:t>367 Prijenosi proračunskim korisnicima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255.174,38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299.171,11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Naknade građanima i kućanstvu na temelju osiguranja i druge naknade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150.106,23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118.530,69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364.837,43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473.268,66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2.557.107,99</w:t>
            </w:r>
          </w:p>
        </w:tc>
        <w:tc>
          <w:tcPr>
            <w:tcW w:w="2266" w:type="dxa"/>
          </w:tcPr>
          <w:p w:rsidR="000F5D55" w:rsidRPr="009746AE" w:rsidRDefault="0068368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3.055.369,18</w:t>
            </w:r>
          </w:p>
        </w:tc>
      </w:tr>
    </w:tbl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FF">
        <w:rPr>
          <w:rFonts w:ascii="Times New Roman" w:hAnsi="Times New Roman" w:cs="Times New Roman"/>
          <w:b/>
          <w:sz w:val="24"/>
          <w:szCs w:val="24"/>
        </w:rPr>
        <w:t>Šifra 3111 Plaće za redovni rad</w:t>
      </w:r>
    </w:p>
    <w:p w:rsidR="000F5D55" w:rsidRPr="00F546D3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su ostvarene u iznosu od </w:t>
      </w:r>
      <w:r w:rsidR="00683689">
        <w:rPr>
          <w:rFonts w:ascii="Times New Roman" w:hAnsi="Times New Roman" w:cs="Times New Roman"/>
          <w:sz w:val="24"/>
          <w:szCs w:val="24"/>
        </w:rPr>
        <w:t>371.850,61</w:t>
      </w:r>
      <w:r>
        <w:rPr>
          <w:rFonts w:ascii="Times New Roman" w:hAnsi="Times New Roman" w:cs="Times New Roman"/>
          <w:sz w:val="24"/>
          <w:szCs w:val="24"/>
        </w:rPr>
        <w:t xml:space="preserve"> eura i index izvršenja u odnosu na 202</w:t>
      </w:r>
      <w:r w:rsidR="006836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godinu je </w:t>
      </w:r>
      <w:r w:rsidR="00683689">
        <w:rPr>
          <w:rFonts w:ascii="Times New Roman" w:hAnsi="Times New Roman" w:cs="Times New Roman"/>
          <w:sz w:val="24"/>
          <w:szCs w:val="24"/>
        </w:rPr>
        <w:t>139,80</w:t>
      </w:r>
      <w:r>
        <w:rPr>
          <w:rFonts w:ascii="Times New Roman" w:hAnsi="Times New Roman" w:cs="Times New Roman"/>
          <w:sz w:val="24"/>
          <w:szCs w:val="24"/>
        </w:rPr>
        <w:t>%</w:t>
      </w:r>
      <w:r w:rsidR="00683689">
        <w:rPr>
          <w:rFonts w:ascii="Times New Roman" w:hAnsi="Times New Roman" w:cs="Times New Roman"/>
          <w:sz w:val="24"/>
          <w:szCs w:val="24"/>
        </w:rPr>
        <w:t>.  Razlog povećanja je radi povećanja koificijenata za obračun plaća djelatnika</w:t>
      </w:r>
      <w:r w:rsidR="00F546D3">
        <w:rPr>
          <w:rFonts w:ascii="Times New Roman" w:hAnsi="Times New Roman" w:cs="Times New Roman"/>
          <w:sz w:val="24"/>
          <w:szCs w:val="24"/>
        </w:rPr>
        <w:t>,</w:t>
      </w:r>
      <w:r w:rsidR="00683689">
        <w:rPr>
          <w:rFonts w:ascii="Times New Roman" w:hAnsi="Times New Roman" w:cs="Times New Roman"/>
          <w:sz w:val="24"/>
          <w:szCs w:val="24"/>
        </w:rPr>
        <w:t xml:space="preserve"> povećanja osnovice za obračun plaća djelatnika</w:t>
      </w:r>
      <w:r w:rsidR="00F546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povr</w:t>
      </w:r>
      <w:r w:rsidR="00F546D3">
        <w:rPr>
          <w:rFonts w:ascii="Times New Roman" w:hAnsi="Times New Roman" w:cs="Times New Roman"/>
          <w:sz w:val="24"/>
          <w:szCs w:val="24"/>
        </w:rPr>
        <w:t>atka djelatnika s bolovanja te troškova plaća z</w:t>
      </w:r>
      <w:r w:rsidR="00C268D1">
        <w:rPr>
          <w:rFonts w:ascii="Times New Roman" w:hAnsi="Times New Roman" w:cs="Times New Roman"/>
          <w:sz w:val="24"/>
          <w:szCs w:val="24"/>
        </w:rPr>
        <w:t>a novozaposlene geront domaćice za projekt Zaželi-Zlatne ruke.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>Ši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B5265">
        <w:rPr>
          <w:rFonts w:ascii="Times New Roman" w:hAnsi="Times New Roman" w:cs="Times New Roman"/>
          <w:b/>
          <w:sz w:val="24"/>
          <w:szCs w:val="24"/>
        </w:rPr>
        <w:t>ra 312 Ostali rashodi za zaposlene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265">
        <w:rPr>
          <w:rFonts w:ascii="Times New Roman" w:hAnsi="Times New Roman" w:cs="Times New Roman"/>
          <w:sz w:val="24"/>
          <w:szCs w:val="24"/>
        </w:rPr>
        <w:t xml:space="preserve">Rashodi iznose </w:t>
      </w:r>
      <w:r w:rsidR="00683689">
        <w:rPr>
          <w:rFonts w:ascii="Times New Roman" w:hAnsi="Times New Roman" w:cs="Times New Roman"/>
          <w:sz w:val="24"/>
          <w:szCs w:val="24"/>
        </w:rPr>
        <w:t>43.691,14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6B526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B5265">
        <w:rPr>
          <w:rFonts w:ascii="Times New Roman" w:hAnsi="Times New Roman" w:cs="Times New Roman"/>
          <w:sz w:val="24"/>
          <w:szCs w:val="24"/>
        </w:rPr>
        <w:t>stvareni su u većem opsegu nego 202</w:t>
      </w:r>
      <w:r w:rsidR="00683689">
        <w:rPr>
          <w:rFonts w:ascii="Times New Roman" w:hAnsi="Times New Roman" w:cs="Times New Roman"/>
          <w:sz w:val="24"/>
          <w:szCs w:val="24"/>
        </w:rPr>
        <w:t>3</w:t>
      </w:r>
      <w:r w:rsidRPr="006B5265"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>radi povećanja naknada i isplaćenih bonusa za rad djelatnika u toku ljetne sezone.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 xml:space="preserve">Šifra 3132 Doprinosi za obvezno zdravstveno osiguranje </w:t>
      </w:r>
    </w:p>
    <w:p w:rsidR="000F5D55" w:rsidRPr="00AB6CD0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6CD0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683689">
        <w:rPr>
          <w:rFonts w:ascii="Times New Roman" w:hAnsi="Times New Roman" w:cs="Times New Roman"/>
          <w:sz w:val="24"/>
          <w:szCs w:val="24"/>
        </w:rPr>
        <w:t>61.355,39</w:t>
      </w:r>
      <w:r>
        <w:rPr>
          <w:rFonts w:ascii="Times New Roman" w:hAnsi="Times New Roman" w:cs="Times New Roman"/>
          <w:sz w:val="24"/>
          <w:szCs w:val="24"/>
        </w:rPr>
        <w:t xml:space="preserve"> eura i bilježe rast u odnosu na izvršenje 202</w:t>
      </w:r>
      <w:r w:rsidR="006836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 radi povećanja opsega mase plaće.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3211 Službena putovanja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većeg iznosa troškova </w:t>
      </w:r>
      <w:r>
        <w:rPr>
          <w:rFonts w:ascii="Times New Roman" w:hAnsi="Times New Roman" w:cs="Times New Roman"/>
          <w:sz w:val="24"/>
          <w:szCs w:val="24"/>
        </w:rPr>
        <w:t xml:space="preserve"> za službena putovanja i ostvareni su u iznosu od </w:t>
      </w:r>
      <w:r w:rsidR="00683689">
        <w:rPr>
          <w:rFonts w:ascii="Times New Roman" w:hAnsi="Times New Roman" w:cs="Times New Roman"/>
          <w:sz w:val="24"/>
          <w:szCs w:val="24"/>
        </w:rPr>
        <w:t>1.291,14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D0">
        <w:rPr>
          <w:rFonts w:ascii="Times New Roman" w:hAnsi="Times New Roman" w:cs="Times New Roman"/>
          <w:b/>
          <w:sz w:val="24"/>
          <w:szCs w:val="24"/>
        </w:rPr>
        <w:t>Šifra 3212 Naknada za prijevoz, za rad i odvojeni život</w:t>
      </w:r>
    </w:p>
    <w:p w:rsidR="000F5D55" w:rsidRPr="00AB6CD0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683689">
        <w:rPr>
          <w:rFonts w:ascii="Times New Roman" w:hAnsi="Times New Roman" w:cs="Times New Roman"/>
          <w:sz w:val="24"/>
          <w:szCs w:val="24"/>
        </w:rPr>
        <w:t>6.136,19</w:t>
      </w:r>
      <w:r>
        <w:rPr>
          <w:rFonts w:ascii="Times New Roman" w:hAnsi="Times New Roman" w:cs="Times New Roman"/>
          <w:sz w:val="24"/>
          <w:szCs w:val="24"/>
        </w:rPr>
        <w:t xml:space="preserve"> eura. Troškovi su ostvareni u nešto većem opsegu nego prošle godine radi poskup</w:t>
      </w:r>
      <w:r w:rsidR="00C268D1">
        <w:rPr>
          <w:rFonts w:ascii="Times New Roman" w:hAnsi="Times New Roman" w:cs="Times New Roman"/>
          <w:sz w:val="24"/>
          <w:szCs w:val="24"/>
        </w:rPr>
        <w:t>ljenja karata za javni prijevoz i troškova prijevoza novozaposlenih djelatnika.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3221 Uredski materijal i ostali materijalni rashodi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683689">
        <w:rPr>
          <w:rFonts w:ascii="Times New Roman" w:hAnsi="Times New Roman" w:cs="Times New Roman"/>
          <w:sz w:val="24"/>
          <w:szCs w:val="24"/>
        </w:rPr>
        <w:t>18.200,44</w:t>
      </w:r>
      <w:r>
        <w:rPr>
          <w:rFonts w:ascii="Times New Roman" w:hAnsi="Times New Roman" w:cs="Times New Roman"/>
          <w:sz w:val="24"/>
          <w:szCs w:val="24"/>
        </w:rPr>
        <w:t xml:space="preserve"> eura i </w:t>
      </w:r>
      <w:r w:rsidR="00683689">
        <w:rPr>
          <w:rFonts w:ascii="Times New Roman" w:hAnsi="Times New Roman" w:cs="Times New Roman"/>
          <w:sz w:val="24"/>
          <w:szCs w:val="24"/>
        </w:rPr>
        <w:t>manji su nego u 2023. godini jer nam postupak p</w:t>
      </w:r>
      <w:r w:rsidR="00467D95">
        <w:rPr>
          <w:rFonts w:ascii="Times New Roman" w:hAnsi="Times New Roman" w:cs="Times New Roman"/>
          <w:sz w:val="24"/>
          <w:szCs w:val="24"/>
        </w:rPr>
        <w:t>rintanja uplatnica za komunalnu i vodnu naknadu radi vanjski suradnik pa shodno s tim smanjena je potraba za uredski materijal.</w:t>
      </w:r>
    </w:p>
    <w:p w:rsidR="00467D95" w:rsidRDefault="00467D9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7D95" w:rsidRDefault="00467D9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D95">
        <w:rPr>
          <w:rFonts w:ascii="Times New Roman" w:hAnsi="Times New Roman" w:cs="Times New Roman"/>
          <w:b/>
          <w:sz w:val="24"/>
          <w:szCs w:val="24"/>
        </w:rPr>
        <w:t xml:space="preserve">Šifra 3223 Energija </w:t>
      </w:r>
    </w:p>
    <w:p w:rsidR="00467D95" w:rsidRPr="00467D95" w:rsidRDefault="00467D9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7D95">
        <w:rPr>
          <w:rFonts w:ascii="Times New Roman" w:hAnsi="Times New Roman" w:cs="Times New Roman"/>
          <w:sz w:val="24"/>
          <w:szCs w:val="24"/>
        </w:rPr>
        <w:t xml:space="preserve">Rashodi su ostavreni u iznosu od 80.385,65 eura i manji su nego u 2023.godini jer je Općina Posedarje </w:t>
      </w:r>
      <w:r>
        <w:rPr>
          <w:rFonts w:ascii="Times New Roman" w:hAnsi="Times New Roman" w:cs="Times New Roman"/>
          <w:sz w:val="24"/>
          <w:szCs w:val="24"/>
        </w:rPr>
        <w:t>uložila sredstva za nabavku solarnih lampa za rasvjetu pa su shodno tim smanjeni i troškovi električne energije.</w:t>
      </w:r>
    </w:p>
    <w:p w:rsidR="000F5D55" w:rsidRPr="008136CD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</w:t>
      </w:r>
      <w:r>
        <w:rPr>
          <w:rFonts w:ascii="Times New Roman" w:hAnsi="Times New Roman" w:cs="Times New Roman"/>
          <w:b/>
          <w:sz w:val="24"/>
          <w:szCs w:val="24"/>
        </w:rPr>
        <w:t>4 Materijal i djelovi za tekuće i investicijsko održavanje</w:t>
      </w:r>
    </w:p>
    <w:p w:rsidR="000F5D55" w:rsidRDefault="000F5D55" w:rsidP="00467D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467D95">
        <w:rPr>
          <w:rFonts w:ascii="Times New Roman" w:hAnsi="Times New Roman" w:cs="Times New Roman"/>
          <w:sz w:val="24"/>
          <w:szCs w:val="24"/>
        </w:rPr>
        <w:t xml:space="preserve">su manji u odnosu </w:t>
      </w:r>
      <w:r w:rsidRPr="009746AE">
        <w:rPr>
          <w:rFonts w:ascii="Times New Roman" w:hAnsi="Times New Roman" w:cs="Times New Roman"/>
          <w:sz w:val="24"/>
          <w:szCs w:val="24"/>
        </w:rPr>
        <w:t xml:space="preserve"> na prethodnu godine </w:t>
      </w:r>
      <w:r w:rsidR="00467D95">
        <w:rPr>
          <w:rFonts w:ascii="Times New Roman" w:hAnsi="Times New Roman" w:cs="Times New Roman"/>
          <w:sz w:val="24"/>
          <w:szCs w:val="24"/>
        </w:rPr>
        <w:t>radi manje potrebe za nabavki istog. U 2024.godini ostvareni su u iznosu od 63.867,70 eura.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95" w:rsidRDefault="00467D95" w:rsidP="00467D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7D95" w:rsidRDefault="00467D95" w:rsidP="00467D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D95">
        <w:rPr>
          <w:rFonts w:ascii="Times New Roman" w:hAnsi="Times New Roman" w:cs="Times New Roman"/>
          <w:b/>
          <w:sz w:val="24"/>
          <w:szCs w:val="24"/>
        </w:rPr>
        <w:t>Šifra 3225 Sitni inventar i auto gume</w:t>
      </w:r>
    </w:p>
    <w:p w:rsidR="00467D95" w:rsidRPr="004C0791" w:rsidRDefault="00467D95" w:rsidP="00467D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0791">
        <w:rPr>
          <w:rFonts w:ascii="Times New Roman" w:hAnsi="Times New Roman" w:cs="Times New Roman"/>
          <w:sz w:val="24"/>
          <w:szCs w:val="24"/>
        </w:rPr>
        <w:t xml:space="preserve">Rashodi po ovoj osnovi su veći nego u 2023. godini radi nabavke auto guma za općinska vozila i sitnog </w:t>
      </w:r>
      <w:r w:rsidR="004C0791">
        <w:rPr>
          <w:rFonts w:ascii="Times New Roman" w:hAnsi="Times New Roman" w:cs="Times New Roman"/>
          <w:sz w:val="24"/>
          <w:szCs w:val="24"/>
        </w:rPr>
        <w:t>i</w:t>
      </w:r>
      <w:r w:rsidRPr="004C0791">
        <w:rPr>
          <w:rFonts w:ascii="Times New Roman" w:hAnsi="Times New Roman" w:cs="Times New Roman"/>
          <w:sz w:val="24"/>
          <w:szCs w:val="24"/>
        </w:rPr>
        <w:t>nventara za komunalni pogon.</w:t>
      </w:r>
    </w:p>
    <w:p w:rsidR="00467D95" w:rsidRPr="009746AE" w:rsidRDefault="00467D95" w:rsidP="00467D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>Šifra 3227 Službena, radna i zaštitna odjeća i obuća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4C0791">
        <w:rPr>
          <w:rFonts w:ascii="Times New Roman" w:hAnsi="Times New Roman" w:cs="Times New Roman"/>
          <w:sz w:val="24"/>
          <w:szCs w:val="24"/>
        </w:rPr>
        <w:t>2.791,43</w:t>
      </w:r>
      <w:r>
        <w:rPr>
          <w:rFonts w:ascii="Times New Roman" w:hAnsi="Times New Roman" w:cs="Times New Roman"/>
          <w:sz w:val="24"/>
          <w:szCs w:val="24"/>
        </w:rPr>
        <w:t xml:space="preserve"> eura i od</w:t>
      </w:r>
      <w:r w:rsidR="004C0791">
        <w:rPr>
          <w:rFonts w:ascii="Times New Roman" w:hAnsi="Times New Roman" w:cs="Times New Roman"/>
          <w:sz w:val="24"/>
          <w:szCs w:val="24"/>
        </w:rPr>
        <w:t>nose</w:t>
      </w:r>
      <w:r>
        <w:rPr>
          <w:rFonts w:ascii="Times New Roman" w:hAnsi="Times New Roman" w:cs="Times New Roman"/>
          <w:sz w:val="24"/>
          <w:szCs w:val="24"/>
        </w:rPr>
        <w:t xml:space="preserve"> se za nabavku odjeće i obuće za djelatnike vlastitog komunalnog pogona.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0791" w:rsidRDefault="004C0791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791">
        <w:rPr>
          <w:rFonts w:ascii="Times New Roman" w:hAnsi="Times New Roman" w:cs="Times New Roman"/>
          <w:b/>
          <w:sz w:val="24"/>
          <w:szCs w:val="24"/>
        </w:rPr>
        <w:t>Šifra 3233 Usluge promidžbe i informiranja</w:t>
      </w:r>
    </w:p>
    <w:p w:rsidR="004C0791" w:rsidRDefault="004C0791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0791">
        <w:rPr>
          <w:rFonts w:ascii="Times New Roman" w:hAnsi="Times New Roman" w:cs="Times New Roman"/>
          <w:sz w:val="24"/>
          <w:szCs w:val="24"/>
        </w:rPr>
        <w:t xml:space="preserve">Rashodi su ostvareni su u iznosu od 18.190,75 eura i veći su nego u 2023. godini </w:t>
      </w:r>
      <w:r>
        <w:rPr>
          <w:rFonts w:ascii="Times New Roman" w:hAnsi="Times New Roman" w:cs="Times New Roman"/>
          <w:sz w:val="24"/>
          <w:szCs w:val="24"/>
        </w:rPr>
        <w:t xml:space="preserve">radi većih troškova oglašavanja i troškova </w:t>
      </w:r>
      <w:r w:rsidR="00AB3015">
        <w:rPr>
          <w:rFonts w:ascii="Times New Roman" w:hAnsi="Times New Roman" w:cs="Times New Roman"/>
          <w:sz w:val="24"/>
          <w:szCs w:val="24"/>
        </w:rPr>
        <w:t xml:space="preserve"> objava </w:t>
      </w:r>
      <w:r>
        <w:rPr>
          <w:rFonts w:ascii="Times New Roman" w:hAnsi="Times New Roman" w:cs="Times New Roman"/>
          <w:sz w:val="24"/>
          <w:szCs w:val="24"/>
        </w:rPr>
        <w:t>natječaja.</w:t>
      </w:r>
    </w:p>
    <w:p w:rsidR="00216E35" w:rsidRDefault="00216E3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791" w:rsidRPr="00216E35" w:rsidRDefault="004C0791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35">
        <w:rPr>
          <w:rFonts w:ascii="Times New Roman" w:hAnsi="Times New Roman" w:cs="Times New Roman"/>
          <w:b/>
          <w:sz w:val="24"/>
          <w:szCs w:val="24"/>
        </w:rPr>
        <w:t>Šifra 3234 Komunalne usluge</w:t>
      </w:r>
    </w:p>
    <w:p w:rsidR="004C0791" w:rsidRPr="004C0791" w:rsidRDefault="004C0791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 ostvareni su u iznosu od 157.012,19 eura i viši su nego u 2023.godini zbog većih troškova odvoza komunalnog otpada i troškova deritizacije i dezinsekcije.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 xml:space="preserve">Šifra 3235 Zakupnina i najamnina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216E35">
        <w:rPr>
          <w:rFonts w:ascii="Times New Roman" w:hAnsi="Times New Roman" w:cs="Times New Roman"/>
          <w:sz w:val="24"/>
          <w:szCs w:val="24"/>
        </w:rPr>
        <w:t>43.671,46</w:t>
      </w:r>
      <w:r>
        <w:rPr>
          <w:rFonts w:ascii="Times New Roman" w:hAnsi="Times New Roman" w:cs="Times New Roman"/>
          <w:sz w:val="24"/>
          <w:szCs w:val="24"/>
        </w:rPr>
        <w:t xml:space="preserve"> eura. Usluge su izvršene u većem opsegu nego 202</w:t>
      </w:r>
      <w:r w:rsidR="00216E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radi najma opreme </w:t>
      </w:r>
      <w:r w:rsidR="00216E35">
        <w:rPr>
          <w:rFonts w:ascii="Times New Roman" w:hAnsi="Times New Roman" w:cs="Times New Roman"/>
          <w:sz w:val="24"/>
          <w:szCs w:val="24"/>
        </w:rPr>
        <w:t>za vlastiti komunalni pogon i najma opreme za proslavu adventa.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35" w:rsidRDefault="00216E3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E35" w:rsidRDefault="00216E3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35">
        <w:rPr>
          <w:rFonts w:ascii="Times New Roman" w:hAnsi="Times New Roman" w:cs="Times New Roman"/>
          <w:b/>
          <w:sz w:val="24"/>
          <w:szCs w:val="24"/>
        </w:rPr>
        <w:t>Šifra 3236 Zdravstvene i veterinarske usluge</w:t>
      </w:r>
    </w:p>
    <w:p w:rsidR="00216E35" w:rsidRPr="00216E35" w:rsidRDefault="00216E3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6E35">
        <w:rPr>
          <w:rFonts w:ascii="Times New Roman" w:hAnsi="Times New Roman" w:cs="Times New Roman"/>
          <w:sz w:val="24"/>
          <w:szCs w:val="24"/>
        </w:rPr>
        <w:t>Rashodi po ovoj osnovi ostvareni su u iz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16E35">
        <w:rPr>
          <w:rFonts w:ascii="Times New Roman" w:hAnsi="Times New Roman" w:cs="Times New Roman"/>
          <w:sz w:val="24"/>
          <w:szCs w:val="24"/>
        </w:rPr>
        <w:t>osu od 10.290,00 eura i ostvareni su u većem iznosu nego u 2023. godini radi većih troškova zbrinjavanja napuštenih životinja i radi većih troškova za analizu čistoće mora.</w:t>
      </w:r>
    </w:p>
    <w:p w:rsidR="00216E35" w:rsidRDefault="00216E3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C2">
        <w:rPr>
          <w:rFonts w:ascii="Times New Roman" w:hAnsi="Times New Roman" w:cs="Times New Roman"/>
          <w:b/>
          <w:sz w:val="24"/>
          <w:szCs w:val="24"/>
        </w:rPr>
        <w:t>Šifra 323</w:t>
      </w:r>
      <w:r>
        <w:rPr>
          <w:rFonts w:ascii="Times New Roman" w:hAnsi="Times New Roman" w:cs="Times New Roman"/>
          <w:b/>
          <w:sz w:val="24"/>
          <w:szCs w:val="24"/>
        </w:rPr>
        <w:t>7 Intelektualne i osobne usluge</w:t>
      </w:r>
    </w:p>
    <w:p w:rsidR="000F5D55" w:rsidRPr="00B001C2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216E35">
        <w:rPr>
          <w:rFonts w:ascii="Times New Roman" w:hAnsi="Times New Roman" w:cs="Times New Roman"/>
          <w:sz w:val="24"/>
          <w:szCs w:val="24"/>
        </w:rPr>
        <w:t xml:space="preserve"> po ovoj osnovi ostvareni su u iznosu od 133.2986,02 eura i veći su nego u 2023.godini radi povećanja odvjetničkih usluga, usluga o ugovoru od djelu za izvođa</w:t>
      </w:r>
      <w:r w:rsidR="00044D08">
        <w:rPr>
          <w:rFonts w:ascii="Times New Roman" w:hAnsi="Times New Roman" w:cs="Times New Roman"/>
          <w:sz w:val="24"/>
          <w:szCs w:val="24"/>
        </w:rPr>
        <w:t>če u vrijeme turističke</w:t>
      </w:r>
      <w:r w:rsidR="00FC5BF2">
        <w:rPr>
          <w:rFonts w:ascii="Times New Roman" w:hAnsi="Times New Roman" w:cs="Times New Roman"/>
          <w:sz w:val="24"/>
          <w:szCs w:val="24"/>
        </w:rPr>
        <w:t xml:space="preserve"> sezone</w:t>
      </w:r>
      <w:r w:rsidR="00044D08">
        <w:rPr>
          <w:rFonts w:ascii="Times New Roman" w:hAnsi="Times New Roman" w:cs="Times New Roman"/>
          <w:sz w:val="24"/>
          <w:szCs w:val="24"/>
        </w:rPr>
        <w:t xml:space="preserve"> </w:t>
      </w:r>
      <w:r w:rsidR="00216E35">
        <w:rPr>
          <w:rFonts w:ascii="Times New Roman" w:hAnsi="Times New Roman" w:cs="Times New Roman"/>
          <w:sz w:val="24"/>
          <w:szCs w:val="24"/>
        </w:rPr>
        <w:t>, usluge  izobrazne aktivnosti za zaštitu okolliša</w:t>
      </w:r>
      <w:r w:rsidR="002A6022">
        <w:rPr>
          <w:rFonts w:ascii="Times New Roman" w:hAnsi="Times New Roman" w:cs="Times New Roman"/>
          <w:sz w:val="24"/>
          <w:szCs w:val="24"/>
        </w:rPr>
        <w:t xml:space="preserve"> te ostalih intelektualnih usluga kao što su troškovi nadzora  i geodetsko katastarske usluge.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3239 Ostale usluge</w:t>
      </w:r>
    </w:p>
    <w:p w:rsidR="002A6022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izvršeni su u iznosu od </w:t>
      </w:r>
      <w:r w:rsidR="002A6022">
        <w:rPr>
          <w:rFonts w:ascii="Times New Roman" w:hAnsi="Times New Roman" w:cs="Times New Roman"/>
          <w:sz w:val="24"/>
          <w:szCs w:val="24"/>
        </w:rPr>
        <w:t>73.280,30</w:t>
      </w:r>
      <w:r>
        <w:rPr>
          <w:rFonts w:ascii="Times New Roman" w:hAnsi="Times New Roman" w:cs="Times New Roman"/>
          <w:sz w:val="24"/>
          <w:szCs w:val="24"/>
        </w:rPr>
        <w:t xml:space="preserve"> euro i izvršeni su u </w:t>
      </w:r>
      <w:r w:rsidR="002A6022">
        <w:rPr>
          <w:rFonts w:ascii="Times New Roman" w:hAnsi="Times New Roman" w:cs="Times New Roman"/>
          <w:sz w:val="24"/>
          <w:szCs w:val="24"/>
        </w:rPr>
        <w:t>manjem opsegu nego u 2023.godini jer je troškove oko organizacije ljetnih događanja preuzela TZ Posedarje.</w:t>
      </w:r>
    </w:p>
    <w:p w:rsidR="000F5D55" w:rsidRPr="009746AE" w:rsidRDefault="002A6022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3291 Naknade za rad predstavničkih i izvršnih tijela, povjerenstava i slično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2A6022">
        <w:rPr>
          <w:rFonts w:ascii="Times New Roman" w:hAnsi="Times New Roman" w:cs="Times New Roman"/>
          <w:sz w:val="24"/>
          <w:szCs w:val="24"/>
        </w:rPr>
        <w:t>ostvareni su u iznosu od 8.090,68 eura. Rashodi su manji nego u 2023. godini jer su u 2023. godini održani izbori za Vjeće mjesnih odbora</w:t>
      </w:r>
      <w:r>
        <w:rPr>
          <w:rFonts w:ascii="Times New Roman" w:hAnsi="Times New Roman" w:cs="Times New Roman"/>
          <w:sz w:val="24"/>
          <w:szCs w:val="24"/>
        </w:rPr>
        <w:t xml:space="preserve"> pa su se shodno tim isplaćivale naknade za rad povjerenstva i izborne komisije.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400FC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A4F">
        <w:rPr>
          <w:rFonts w:ascii="Times New Roman" w:hAnsi="Times New Roman" w:cs="Times New Roman"/>
          <w:b/>
          <w:sz w:val="24"/>
          <w:szCs w:val="24"/>
        </w:rPr>
        <w:t>Šifra 3292 Premije osiguranja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izvršeni u iznosu od </w:t>
      </w:r>
      <w:r w:rsidR="00044D08">
        <w:rPr>
          <w:rFonts w:ascii="Times New Roman" w:hAnsi="Times New Roman" w:cs="Times New Roman"/>
          <w:sz w:val="24"/>
          <w:szCs w:val="24"/>
        </w:rPr>
        <w:t>10.603,99</w:t>
      </w:r>
      <w:r>
        <w:rPr>
          <w:rFonts w:ascii="Times New Roman" w:hAnsi="Times New Roman" w:cs="Times New Roman"/>
          <w:sz w:val="24"/>
          <w:szCs w:val="24"/>
        </w:rPr>
        <w:t xml:space="preserve"> eura i veći su nego u 202</w:t>
      </w:r>
      <w:r w:rsidR="00044D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radi novih ugovorenih polica zdravstvenog osiguranja djelatnika i polica osiguranja imovine.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</w:t>
      </w:r>
      <w:r>
        <w:rPr>
          <w:rFonts w:ascii="Times New Roman" w:hAnsi="Times New Roman" w:cs="Times New Roman"/>
          <w:b/>
          <w:sz w:val="24"/>
          <w:szCs w:val="24"/>
        </w:rPr>
        <w:t>4 Članarine</w:t>
      </w:r>
    </w:p>
    <w:p w:rsidR="000F5D55" w:rsidRPr="00544A4F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4A4F"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044D08">
        <w:rPr>
          <w:rFonts w:ascii="Times New Roman" w:hAnsi="Times New Roman" w:cs="Times New Roman"/>
          <w:sz w:val="24"/>
          <w:szCs w:val="24"/>
        </w:rPr>
        <w:t>2.332,65</w:t>
      </w:r>
      <w:r w:rsidRPr="00544A4F">
        <w:rPr>
          <w:rFonts w:ascii="Times New Roman" w:hAnsi="Times New Roman" w:cs="Times New Roman"/>
          <w:sz w:val="24"/>
          <w:szCs w:val="24"/>
        </w:rPr>
        <w:t xml:space="preserve"> eura a odnose se na članarine lokalnim </w:t>
      </w:r>
      <w:r>
        <w:rPr>
          <w:rFonts w:ascii="Times New Roman" w:hAnsi="Times New Roman" w:cs="Times New Roman"/>
          <w:sz w:val="24"/>
          <w:szCs w:val="24"/>
        </w:rPr>
        <w:t>akcijskih grupa.</w:t>
      </w:r>
      <w:r w:rsidRPr="00544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</w:t>
      </w:r>
      <w:r>
        <w:rPr>
          <w:rFonts w:ascii="Times New Roman" w:hAnsi="Times New Roman" w:cs="Times New Roman"/>
          <w:b/>
          <w:sz w:val="24"/>
          <w:szCs w:val="24"/>
        </w:rPr>
        <w:t>6 Troškovi sudskih postupaka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4D08" w:rsidRDefault="000F5D55" w:rsidP="00044D08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44D08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044D08" w:rsidRPr="00044D08">
        <w:rPr>
          <w:rFonts w:ascii="Times New Roman" w:hAnsi="Times New Roman" w:cs="Times New Roman"/>
          <w:sz w:val="24"/>
          <w:szCs w:val="24"/>
        </w:rPr>
        <w:t xml:space="preserve">239.590,00 eura. </w:t>
      </w:r>
      <w:r w:rsidR="00044D08" w:rsidRP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Troškovi  su povećani su radi troškova sudskih postupaka iz prijašnjih godina</w:t>
      </w:r>
      <w:r w:rsid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  <w:r w:rsidR="00044D08" w:rsidRP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Radi se o sporu s kupcom za građevinski teren u Poslovnoj zoni Posedarje/Sliv</w:t>
      </w:r>
      <w:r w:rsid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nica</w:t>
      </w:r>
      <w:r w:rsidR="00044D08" w:rsidRP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po kojem je Općina Posedarje sklopila izvansu</w:t>
      </w:r>
      <w:r w:rsidR="00044D0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dsku nagodbu po kojoj je bila dužna isplatiti navedeni iznos.</w:t>
      </w:r>
      <w:r w:rsidR="006D2C5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Zaključno s 31.12.2024.g. sve obveze po </w:t>
      </w:r>
      <w:r w:rsidR="00AB301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predmetnoj </w:t>
      </w:r>
      <w:r w:rsidR="006D2C5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sudskoj nagodbi su podmirene.</w:t>
      </w:r>
    </w:p>
    <w:p w:rsidR="00044D08" w:rsidRDefault="00044D08" w:rsidP="00044D08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044D08" w:rsidRPr="00044D08" w:rsidRDefault="00044D08" w:rsidP="00044D08">
      <w:pPr>
        <w:pStyle w:val="NoSpacing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044D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Šifra 3433 zatezne kamate</w:t>
      </w:r>
    </w:p>
    <w:p w:rsidR="00044D08" w:rsidRPr="00044D08" w:rsidRDefault="00044D08" w:rsidP="00044D08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Troškovi po ovoj osnovi ostvareni su u iznosu od 557,60 eura i manji su nego u 2023. godini što je dokaz na pravovremeno plaćanje pristiglih računa.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544A4F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FC5BF2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BF2">
        <w:rPr>
          <w:rFonts w:ascii="Times New Roman" w:hAnsi="Times New Roman" w:cs="Times New Roman"/>
          <w:b/>
          <w:sz w:val="24"/>
          <w:szCs w:val="24"/>
        </w:rPr>
        <w:t>Šifra 3631 Tekuće pomoći unutar općeg proračuna</w:t>
      </w:r>
    </w:p>
    <w:p w:rsidR="00FC5BF2" w:rsidRPr="00FC5BF2" w:rsidRDefault="00FC5BF2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C5BF2">
        <w:rPr>
          <w:rFonts w:ascii="Times New Roman" w:hAnsi="Times New Roman" w:cs="Times New Roman"/>
          <w:sz w:val="24"/>
          <w:szCs w:val="24"/>
        </w:rPr>
        <w:t xml:space="preserve">U 2024.godini rashodi po ovoj osnovi izvršeni su u iznosu od 3.891,68 eura a odnose se na pomoć Općini Poličnik za za troškove zajedničkog komunlanog redarstva </w:t>
      </w:r>
      <w:r>
        <w:rPr>
          <w:rFonts w:ascii="Times New Roman" w:hAnsi="Times New Roman" w:cs="Times New Roman"/>
          <w:sz w:val="24"/>
          <w:szCs w:val="24"/>
        </w:rPr>
        <w:t>kojeg su osnovale četiri susjedne općine.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3661 Tekuće pomoći proračunskim korisnicima drugih proračuna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pomoći iznose </w:t>
      </w:r>
      <w:r w:rsidR="00FC5BF2">
        <w:rPr>
          <w:rFonts w:ascii="Times New Roman" w:hAnsi="Times New Roman" w:cs="Times New Roman"/>
          <w:sz w:val="24"/>
          <w:szCs w:val="24"/>
        </w:rPr>
        <w:t>24.302,40</w:t>
      </w:r>
      <w:r>
        <w:rPr>
          <w:rFonts w:ascii="Times New Roman" w:hAnsi="Times New Roman" w:cs="Times New Roman"/>
          <w:sz w:val="24"/>
          <w:szCs w:val="24"/>
        </w:rPr>
        <w:t xml:space="preserve"> eura a odnse se na pomoći dječjem vrtiću Latica za boravak djece  s posebnim potrebama s područja Općine Posedarje  i pomoć dječjem vrtiću Ljubičica iz Maslenice radi pokrića troškova boravka djece s područja Općine Posedarje u istom vrtiću.</w:t>
      </w:r>
    </w:p>
    <w:p w:rsidR="00FC5BF2" w:rsidRDefault="00FC5BF2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5BF2" w:rsidRPr="00FC5BF2" w:rsidRDefault="00FC5BF2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BF2">
        <w:rPr>
          <w:rFonts w:ascii="Times New Roman" w:hAnsi="Times New Roman" w:cs="Times New Roman"/>
          <w:b/>
          <w:sz w:val="24"/>
          <w:szCs w:val="24"/>
        </w:rPr>
        <w:t>Šifra 3662 Kapitalne pomoći proračunskim korisnicima drugih proračuna</w:t>
      </w:r>
    </w:p>
    <w:p w:rsidR="00FC5BF2" w:rsidRDefault="00FC5BF2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godini </w:t>
      </w:r>
      <w:r w:rsidR="005D62A4">
        <w:rPr>
          <w:rFonts w:ascii="Times New Roman" w:hAnsi="Times New Roman" w:cs="Times New Roman"/>
          <w:sz w:val="24"/>
          <w:szCs w:val="24"/>
        </w:rPr>
        <w:t>kapitalne pomoći isplaćene su u iznosu od 25.685,00 eura i to Osnovnoj školi Braća Ribar Posedarje za opremanje kuhinja i kupnju klima uređaja.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48">
        <w:rPr>
          <w:rFonts w:ascii="Times New Roman" w:hAnsi="Times New Roman" w:cs="Times New Roman"/>
          <w:b/>
          <w:sz w:val="24"/>
          <w:szCs w:val="24"/>
        </w:rPr>
        <w:t>Šifra 3672 Prijenosi proračunskim korisnicima iz nadležnog proračuna za financiranje rashoda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iznose </w:t>
      </w:r>
      <w:r w:rsidR="005D62A4">
        <w:rPr>
          <w:rFonts w:ascii="Times New Roman" w:hAnsi="Times New Roman" w:cs="Times New Roman"/>
          <w:sz w:val="24"/>
          <w:szCs w:val="24"/>
        </w:rPr>
        <w:t>299.171,11</w:t>
      </w:r>
      <w:r>
        <w:rPr>
          <w:rFonts w:ascii="Times New Roman" w:hAnsi="Times New Roman" w:cs="Times New Roman"/>
          <w:sz w:val="24"/>
          <w:szCs w:val="24"/>
        </w:rPr>
        <w:t xml:space="preserve"> eura a odnosi se na prijenos sredstava za proračunskog korisnika Dječji vrtić Cvrčak za financiranje bruto plaća i ostalih materijalnih troškova.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3721 Naknade građanima i kućanstvu u novcu</w:t>
      </w:r>
    </w:p>
    <w:p w:rsidR="005D62A4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stavci ostvareni su 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5D62A4">
        <w:rPr>
          <w:rFonts w:ascii="Times New Roman" w:hAnsi="Times New Roman" w:cs="Times New Roman"/>
          <w:sz w:val="24"/>
          <w:szCs w:val="24"/>
        </w:rPr>
        <w:t>63.400,00 eura i manji su nego u 2023. godini. Razlog smanjenja troškova u 2024. godini  je manji iznos isplaćenih pomoći roditeljima za novorođenu djecu.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38</w:t>
      </w:r>
      <w:r>
        <w:rPr>
          <w:rFonts w:ascii="Times New Roman" w:hAnsi="Times New Roman" w:cs="Times New Roman"/>
          <w:b/>
          <w:sz w:val="24"/>
          <w:szCs w:val="24"/>
        </w:rPr>
        <w:t>11 Tekuće donacije u novcu</w:t>
      </w:r>
    </w:p>
    <w:p w:rsidR="005D62A4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 xml:space="preserve">Tekuće donacije u novcu </w:t>
      </w:r>
      <w:r w:rsidR="005D62A4">
        <w:rPr>
          <w:rFonts w:ascii="Times New Roman" w:hAnsi="Times New Roman" w:cs="Times New Roman"/>
          <w:sz w:val="24"/>
          <w:szCs w:val="24"/>
        </w:rPr>
        <w:t>isplaćene su u iznosu od</w:t>
      </w:r>
      <w:r w:rsidRPr="0000305C">
        <w:rPr>
          <w:rFonts w:ascii="Times New Roman" w:hAnsi="Times New Roman" w:cs="Times New Roman"/>
          <w:sz w:val="24"/>
          <w:szCs w:val="24"/>
        </w:rPr>
        <w:t xml:space="preserve"> </w:t>
      </w:r>
      <w:r w:rsidR="005D62A4">
        <w:rPr>
          <w:rFonts w:ascii="Times New Roman" w:hAnsi="Times New Roman" w:cs="Times New Roman"/>
          <w:sz w:val="24"/>
          <w:szCs w:val="24"/>
        </w:rPr>
        <w:t>444.685,93 i isplaćene su u većem iznosu nego u 2023. godini</w:t>
      </w:r>
      <w:r w:rsidRPr="0000305C">
        <w:rPr>
          <w:rFonts w:ascii="Times New Roman" w:hAnsi="Times New Roman" w:cs="Times New Roman"/>
          <w:sz w:val="24"/>
          <w:szCs w:val="24"/>
        </w:rPr>
        <w:t xml:space="preserve"> a odnose se na tekuće pomoći socijalno ugroženim građanima, tekuće donacije u novcu udrugama koje se financiraju </w:t>
      </w:r>
      <w:r>
        <w:rPr>
          <w:rFonts w:ascii="Times New Roman" w:hAnsi="Times New Roman" w:cs="Times New Roman"/>
          <w:sz w:val="24"/>
          <w:szCs w:val="24"/>
        </w:rPr>
        <w:t xml:space="preserve"> iz proračuna općine na temelju raspisanog natječaja za financiranje udruga.</w:t>
      </w:r>
      <w:r w:rsidRPr="00003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2A4" w:rsidRDefault="005D62A4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godini nastavljeno je isplaćivanje pomoći  za Božić umirovljenicima s manjom mirovinom od 500,00 eura </w:t>
      </w:r>
    </w:p>
    <w:p w:rsidR="005D62A4" w:rsidRDefault="005D62A4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5D62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3D9">
        <w:rPr>
          <w:rFonts w:ascii="Times New Roman" w:hAnsi="Times New Roman" w:cs="Times New Roman"/>
          <w:b/>
          <w:sz w:val="24"/>
          <w:szCs w:val="24"/>
        </w:rPr>
        <w:t>Šifra 38</w:t>
      </w:r>
      <w:r w:rsidR="005D62A4">
        <w:rPr>
          <w:rFonts w:ascii="Times New Roman" w:hAnsi="Times New Roman" w:cs="Times New Roman"/>
          <w:b/>
          <w:sz w:val="24"/>
          <w:szCs w:val="24"/>
        </w:rPr>
        <w:t>13 Tekuće donacije iz EU sredstava</w:t>
      </w:r>
      <w:r w:rsidRPr="00EB53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62A4" w:rsidRPr="005D62A4" w:rsidRDefault="005D62A4" w:rsidP="005D62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62A4">
        <w:rPr>
          <w:rFonts w:ascii="Times New Roman" w:hAnsi="Times New Roman" w:cs="Times New Roman"/>
          <w:sz w:val="24"/>
          <w:szCs w:val="24"/>
        </w:rPr>
        <w:lastRenderedPageBreak/>
        <w:t xml:space="preserve">Troškovi po ovoj osnovi ostvareni su u iznosu od 28.582,73 eura. </w:t>
      </w:r>
      <w:r>
        <w:rPr>
          <w:rFonts w:ascii="Times New Roman" w:hAnsi="Times New Roman" w:cs="Times New Roman"/>
          <w:sz w:val="24"/>
          <w:szCs w:val="24"/>
        </w:rPr>
        <w:t xml:space="preserve"> Općina Posedarje je zajedno</w:t>
      </w:r>
      <w:r w:rsidR="00C76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TZ Novigradsko more </w:t>
      </w:r>
      <w:r w:rsidR="00C764D9">
        <w:rPr>
          <w:rFonts w:ascii="Times New Roman" w:hAnsi="Times New Roman" w:cs="Times New Roman"/>
          <w:sz w:val="24"/>
          <w:szCs w:val="24"/>
        </w:rPr>
        <w:t xml:space="preserve">sudjelovala na provedbi projekta "Igra valova" koja uključuje aktivnost nabavke audio opreme i pozornice te organizaciju ljetnih manifestacija.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5C">
        <w:rPr>
          <w:rFonts w:ascii="Times New Roman" w:hAnsi="Times New Roman" w:cs="Times New Roman"/>
          <w:b/>
          <w:sz w:val="24"/>
          <w:szCs w:val="24"/>
        </w:rPr>
        <w:t>Šifra X001 Višak prihoda p</w:t>
      </w:r>
      <w:r>
        <w:rPr>
          <w:rFonts w:ascii="Times New Roman" w:hAnsi="Times New Roman" w:cs="Times New Roman"/>
          <w:b/>
          <w:sz w:val="24"/>
          <w:szCs w:val="24"/>
        </w:rPr>
        <w:t>oslovanja</w:t>
      </w:r>
    </w:p>
    <w:p w:rsidR="000F5D55" w:rsidRPr="0000305C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 xml:space="preserve">U izvještajnom razdoblju ostvaren je višak prihoda nad rashodima u iznosu od </w:t>
      </w:r>
      <w:r w:rsidR="00C764D9">
        <w:rPr>
          <w:rFonts w:ascii="Times New Roman" w:hAnsi="Times New Roman" w:cs="Times New Roman"/>
          <w:sz w:val="24"/>
          <w:szCs w:val="24"/>
        </w:rPr>
        <w:t>55.393,66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4D9" w:rsidRDefault="00C764D9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F5D55" w:rsidRPr="009746AE" w:rsidTr="00C40107">
        <w:tc>
          <w:tcPr>
            <w:tcW w:w="3968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0F5D55" w:rsidP="00C764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6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0F5D55" w:rsidP="00C764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6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965.212,42</w:t>
            </w:r>
          </w:p>
        </w:tc>
      </w:tr>
    </w:tbl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64D9" w:rsidRPr="00C764D9" w:rsidRDefault="00C764D9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4D9">
        <w:rPr>
          <w:rFonts w:ascii="Times New Roman" w:hAnsi="Times New Roman" w:cs="Times New Roman"/>
          <w:b/>
          <w:sz w:val="24"/>
          <w:szCs w:val="24"/>
        </w:rPr>
        <w:t>Šifra 7124 Ostala prava</w:t>
      </w:r>
    </w:p>
    <w:p w:rsidR="00C764D9" w:rsidRDefault="00C764D9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ostvareni su u iznosu od 13.803,16 eura i ostvareni su u manjem iznosu nego u 2023. godini. Prihodi se odnose za višegodišnji zakup grobnica u mjesnom groblju Posedarje.</w:t>
      </w:r>
    </w:p>
    <w:p w:rsidR="00C764D9" w:rsidRDefault="00C764D9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F5D55" w:rsidRPr="009746AE" w:rsidTr="00C40107">
        <w:tc>
          <w:tcPr>
            <w:tcW w:w="3968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0F5D55" w:rsidP="00C764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6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0F5D55" w:rsidP="00C764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6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227.185,72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251.326,31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860.186,70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496.756,87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1.087.372,42</w:t>
            </w:r>
          </w:p>
        </w:tc>
        <w:tc>
          <w:tcPr>
            <w:tcW w:w="2266" w:type="dxa"/>
          </w:tcPr>
          <w:p w:rsidR="000F5D55" w:rsidRPr="009746AE" w:rsidRDefault="00C764D9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748.083,18</w:t>
            </w:r>
          </w:p>
        </w:tc>
      </w:tr>
    </w:tbl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4D9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412</w:t>
      </w:r>
      <w:r w:rsidR="00C764D9">
        <w:rPr>
          <w:rFonts w:ascii="Times New Roman" w:hAnsi="Times New Roman" w:cs="Times New Roman"/>
          <w:b/>
          <w:sz w:val="24"/>
          <w:szCs w:val="24"/>
        </w:rPr>
        <w:t>4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Ostala </w:t>
      </w:r>
      <w:r w:rsidR="00C764D9">
        <w:rPr>
          <w:rFonts w:ascii="Times New Roman" w:hAnsi="Times New Roman" w:cs="Times New Roman"/>
          <w:b/>
          <w:sz w:val="24"/>
          <w:szCs w:val="24"/>
        </w:rPr>
        <w:t>prava</w:t>
      </w:r>
    </w:p>
    <w:p w:rsidR="00DE000A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</w:t>
      </w:r>
      <w:r>
        <w:rPr>
          <w:rFonts w:ascii="Times New Roman" w:hAnsi="Times New Roman" w:cs="Times New Roman"/>
          <w:sz w:val="24"/>
          <w:szCs w:val="24"/>
        </w:rPr>
        <w:t xml:space="preserve">osnovi iznose </w:t>
      </w:r>
      <w:r w:rsidR="00DE000A">
        <w:rPr>
          <w:rFonts w:ascii="Times New Roman" w:hAnsi="Times New Roman" w:cs="Times New Roman"/>
          <w:sz w:val="24"/>
          <w:szCs w:val="24"/>
        </w:rPr>
        <w:t>49,851,96 . Općina Posedarje zaključila ugovor s Vodovodom Zadra o sufinanciranju izgradnje novih vodovodnih ogranaka po kojem Općina Posedarje sufinancira zemljene radove.</w:t>
      </w:r>
    </w:p>
    <w:p w:rsidR="00DE000A" w:rsidRDefault="00DE000A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000A" w:rsidRDefault="00DE000A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00A">
        <w:rPr>
          <w:rFonts w:ascii="Times New Roman" w:hAnsi="Times New Roman" w:cs="Times New Roman"/>
          <w:b/>
          <w:sz w:val="24"/>
          <w:szCs w:val="24"/>
        </w:rPr>
        <w:t xml:space="preserve">Šifra 4126 Ostala nematerijalna imovina </w:t>
      </w:r>
    </w:p>
    <w:p w:rsidR="00DE000A" w:rsidRPr="005D03F7" w:rsidRDefault="00DE000A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03F7">
        <w:rPr>
          <w:rFonts w:ascii="Times New Roman" w:hAnsi="Times New Roman" w:cs="Times New Roman"/>
          <w:sz w:val="24"/>
          <w:szCs w:val="24"/>
        </w:rPr>
        <w:t>Tr</w:t>
      </w:r>
      <w:r w:rsidR="005D03F7" w:rsidRPr="005D03F7">
        <w:rPr>
          <w:rFonts w:ascii="Times New Roman" w:hAnsi="Times New Roman" w:cs="Times New Roman"/>
          <w:sz w:val="24"/>
          <w:szCs w:val="24"/>
        </w:rPr>
        <w:t xml:space="preserve">oškovi po ovoj osnovi ostvareni su u iznosu od 201.474,35 i manji nešto su manji nego u 2023. godini a </w:t>
      </w:r>
      <w:r w:rsidR="006D2C50">
        <w:rPr>
          <w:rFonts w:ascii="Times New Roman" w:hAnsi="Times New Roman" w:cs="Times New Roman"/>
          <w:sz w:val="24"/>
          <w:szCs w:val="24"/>
        </w:rPr>
        <w:t>o</w:t>
      </w:r>
      <w:r w:rsidR="005D03F7" w:rsidRPr="005D03F7">
        <w:rPr>
          <w:rFonts w:ascii="Times New Roman" w:hAnsi="Times New Roman" w:cs="Times New Roman"/>
          <w:sz w:val="24"/>
          <w:szCs w:val="24"/>
        </w:rPr>
        <w:t>donse se na izradu projektne dokumetacije i tro</w:t>
      </w:r>
      <w:r w:rsidR="005D03F7">
        <w:rPr>
          <w:rFonts w:ascii="Times New Roman" w:hAnsi="Times New Roman" w:cs="Times New Roman"/>
          <w:sz w:val="24"/>
          <w:szCs w:val="24"/>
        </w:rPr>
        <w:t>š</w:t>
      </w:r>
      <w:r w:rsidR="005D03F7" w:rsidRPr="005D03F7">
        <w:rPr>
          <w:rFonts w:ascii="Times New Roman" w:hAnsi="Times New Roman" w:cs="Times New Roman"/>
          <w:sz w:val="24"/>
          <w:szCs w:val="24"/>
        </w:rPr>
        <w:t>ko</w:t>
      </w:r>
      <w:r w:rsidR="005D03F7">
        <w:rPr>
          <w:rFonts w:ascii="Times New Roman" w:hAnsi="Times New Roman" w:cs="Times New Roman"/>
          <w:sz w:val="24"/>
          <w:szCs w:val="24"/>
        </w:rPr>
        <w:t>ve</w:t>
      </w:r>
      <w:r w:rsidR="005D03F7" w:rsidRPr="005D03F7">
        <w:rPr>
          <w:rFonts w:ascii="Times New Roman" w:hAnsi="Times New Roman" w:cs="Times New Roman"/>
          <w:sz w:val="24"/>
          <w:szCs w:val="24"/>
        </w:rPr>
        <w:t xml:space="preserve"> i</w:t>
      </w:r>
      <w:r w:rsidR="005D03F7">
        <w:rPr>
          <w:rFonts w:ascii="Times New Roman" w:hAnsi="Times New Roman" w:cs="Times New Roman"/>
          <w:sz w:val="24"/>
          <w:szCs w:val="24"/>
        </w:rPr>
        <w:t>z</w:t>
      </w:r>
      <w:r w:rsidR="005D03F7" w:rsidRPr="005D03F7">
        <w:rPr>
          <w:rFonts w:ascii="Times New Roman" w:hAnsi="Times New Roman" w:cs="Times New Roman"/>
          <w:sz w:val="24"/>
          <w:szCs w:val="24"/>
        </w:rPr>
        <w:t>mjena i dopuna prostornog plana.</w:t>
      </w:r>
    </w:p>
    <w:p w:rsidR="00DE000A" w:rsidRDefault="00DE000A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DE000A" w:rsidP="005D03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3F7">
        <w:rPr>
          <w:rFonts w:ascii="Times New Roman" w:hAnsi="Times New Roman" w:cs="Times New Roman"/>
          <w:b/>
          <w:sz w:val="24"/>
          <w:szCs w:val="24"/>
        </w:rPr>
        <w:t>Šifra 4214 Ostali građevinski objekti</w:t>
      </w:r>
    </w:p>
    <w:p w:rsidR="005D03F7" w:rsidRDefault="005D03F7" w:rsidP="005D0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03F7">
        <w:rPr>
          <w:rFonts w:ascii="Times New Roman" w:hAnsi="Times New Roman" w:cs="Times New Roman"/>
          <w:sz w:val="24"/>
          <w:szCs w:val="24"/>
        </w:rPr>
        <w:t>Troškovi su izvršeni u iznosu od 244.715,08 eura</w:t>
      </w:r>
      <w:r>
        <w:rPr>
          <w:rFonts w:ascii="Times New Roman" w:hAnsi="Times New Roman" w:cs="Times New Roman"/>
          <w:sz w:val="24"/>
          <w:szCs w:val="24"/>
        </w:rPr>
        <w:t xml:space="preserve"> i manji su nego u 2023. godini. U 2024. godini troškovi po nevedenoj osnovi </w:t>
      </w:r>
      <w:r w:rsidR="00AB3015">
        <w:rPr>
          <w:rFonts w:ascii="Times New Roman" w:hAnsi="Times New Roman" w:cs="Times New Roman"/>
          <w:sz w:val="24"/>
          <w:szCs w:val="24"/>
        </w:rPr>
        <w:t>odnose</w:t>
      </w:r>
      <w:r>
        <w:rPr>
          <w:rFonts w:ascii="Times New Roman" w:hAnsi="Times New Roman" w:cs="Times New Roman"/>
          <w:sz w:val="24"/>
          <w:szCs w:val="24"/>
        </w:rPr>
        <w:t xml:space="preserve"> se na nabavku novih solarnih rasvjetnih lampi i troškovi nastvaka treće faze zgrade za ispraćaj u groblju u Posedarju.</w:t>
      </w:r>
    </w:p>
    <w:p w:rsidR="005D03F7" w:rsidRDefault="005D03F7" w:rsidP="005D0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03F7" w:rsidRPr="005D03F7" w:rsidRDefault="005D03F7" w:rsidP="005D03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F7">
        <w:rPr>
          <w:rFonts w:ascii="Times New Roman" w:hAnsi="Times New Roman" w:cs="Times New Roman"/>
          <w:b/>
          <w:sz w:val="24"/>
          <w:szCs w:val="24"/>
        </w:rPr>
        <w:lastRenderedPageBreak/>
        <w:t>Šifra 4222 Komunikacijska oprema</w:t>
      </w:r>
    </w:p>
    <w:p w:rsidR="000F5D55" w:rsidRDefault="005D03F7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godini nabavljena su </w:t>
      </w:r>
      <w:r w:rsidR="004A2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službena mobitela čija v</w:t>
      </w:r>
      <w:r w:rsidR="006D2C50">
        <w:rPr>
          <w:rFonts w:ascii="Times New Roman" w:hAnsi="Times New Roman" w:cs="Times New Roman"/>
          <w:sz w:val="24"/>
          <w:szCs w:val="24"/>
        </w:rPr>
        <w:t>rijednost iznosi 5.082,98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FE7A8F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4225 Instrumenti, uređaji i strojevi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 xml:space="preserve">Odnose se na nabavku  uređaja za potrebe vlastitog komunalnog pogona u iznosu od </w:t>
      </w:r>
      <w:r w:rsidR="005D03F7">
        <w:rPr>
          <w:rFonts w:ascii="Times New Roman" w:hAnsi="Times New Roman" w:cs="Times New Roman"/>
          <w:sz w:val="24"/>
          <w:szCs w:val="24"/>
        </w:rPr>
        <w:t>9.772,00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2C50" w:rsidRDefault="006D2C50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b/>
          <w:sz w:val="24"/>
          <w:szCs w:val="24"/>
        </w:rPr>
        <w:t>Šifra 4226 Sportska i glazbena oprema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93">
        <w:rPr>
          <w:rFonts w:ascii="Times New Roman" w:hAnsi="Times New Roman" w:cs="Times New Roman"/>
          <w:sz w:val="24"/>
          <w:szCs w:val="24"/>
        </w:rPr>
        <w:t xml:space="preserve">Odnosi se na nabavku </w:t>
      </w:r>
      <w:r w:rsidR="005D03F7">
        <w:rPr>
          <w:rFonts w:ascii="Times New Roman" w:hAnsi="Times New Roman" w:cs="Times New Roman"/>
          <w:sz w:val="24"/>
          <w:szCs w:val="24"/>
        </w:rPr>
        <w:t>sportske opreme i to sprava za vježbanje u iznosu od 5.800,00 eura.</w:t>
      </w:r>
      <w:r w:rsidR="005D0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3F7" w:rsidRDefault="005D03F7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4227 Uređaji, strojevi i oprema za ostale namjene</w:t>
      </w:r>
    </w:p>
    <w:p w:rsidR="005C73AC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5D03F7">
        <w:rPr>
          <w:rFonts w:ascii="Times New Roman" w:hAnsi="Times New Roman" w:cs="Times New Roman"/>
          <w:sz w:val="24"/>
          <w:szCs w:val="24"/>
        </w:rPr>
        <w:t>83.073,40 eura i znat</w:t>
      </w:r>
      <w:r w:rsidR="005C73AC">
        <w:rPr>
          <w:rFonts w:ascii="Times New Roman" w:hAnsi="Times New Roman" w:cs="Times New Roman"/>
          <w:sz w:val="24"/>
          <w:szCs w:val="24"/>
        </w:rPr>
        <w:t>no su veći nego u 2023. godini. U 2024. godini ostvarena</w:t>
      </w:r>
      <w:r w:rsidR="004A239E">
        <w:rPr>
          <w:rFonts w:ascii="Times New Roman" w:hAnsi="Times New Roman" w:cs="Times New Roman"/>
          <w:sz w:val="24"/>
          <w:szCs w:val="24"/>
        </w:rPr>
        <w:t xml:space="preserve"> su ulaganja u dječja igrališta te nabavka uređaja za vlastiti komunalni pogon.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>Šifra</w:t>
      </w:r>
      <w:r w:rsidR="005C73AC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Pr="00DB1169">
        <w:rPr>
          <w:rFonts w:ascii="Times New Roman" w:hAnsi="Times New Roman" w:cs="Times New Roman"/>
          <w:b/>
          <w:sz w:val="24"/>
          <w:szCs w:val="24"/>
        </w:rPr>
        <w:t xml:space="preserve">002 </w:t>
      </w:r>
      <w:r w:rsidR="005C73AC">
        <w:rPr>
          <w:rFonts w:ascii="Times New Roman" w:hAnsi="Times New Roman" w:cs="Times New Roman"/>
          <w:b/>
          <w:sz w:val="24"/>
          <w:szCs w:val="24"/>
        </w:rPr>
        <w:t>višak prihoda od nefinancijske imovine</w:t>
      </w:r>
    </w:p>
    <w:p w:rsidR="000F5D55" w:rsidRDefault="005C73AC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</w:t>
      </w:r>
      <w:r w:rsidR="000F5D55" w:rsidRPr="00DB1169">
        <w:rPr>
          <w:rFonts w:ascii="Times New Roman" w:hAnsi="Times New Roman" w:cs="Times New Roman"/>
          <w:sz w:val="24"/>
          <w:szCs w:val="24"/>
        </w:rPr>
        <w:t xml:space="preserve"> prihoda od nefinancijske imovine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F5D55" w:rsidRPr="00DB1169">
        <w:rPr>
          <w:rFonts w:ascii="Times New Roman" w:hAnsi="Times New Roman" w:cs="Times New Roman"/>
          <w:sz w:val="24"/>
          <w:szCs w:val="24"/>
        </w:rPr>
        <w:t xml:space="preserve">. godni iznosi </w:t>
      </w:r>
      <w:r>
        <w:rPr>
          <w:rFonts w:ascii="Times New Roman" w:hAnsi="Times New Roman" w:cs="Times New Roman"/>
          <w:sz w:val="24"/>
          <w:szCs w:val="24"/>
        </w:rPr>
        <w:t>154.985,13</w:t>
      </w:r>
      <w:r w:rsidR="000F5D55">
        <w:rPr>
          <w:rFonts w:ascii="Times New Roman" w:hAnsi="Times New Roman" w:cs="Times New Roman"/>
          <w:sz w:val="24"/>
          <w:szCs w:val="24"/>
        </w:rPr>
        <w:t xml:space="preserve"> eura</w:t>
      </w:r>
      <w:r w:rsidR="000F5D55" w:rsidRPr="00DB1169">
        <w:rPr>
          <w:rFonts w:ascii="Times New Roman" w:hAnsi="Times New Roman" w:cs="Times New Roman"/>
          <w:sz w:val="24"/>
          <w:szCs w:val="24"/>
        </w:rPr>
        <w:t>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Izdaci za financijsku imovinu i otplatu zajmova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F5D55" w:rsidRPr="009746AE" w:rsidTr="00C40107">
        <w:tc>
          <w:tcPr>
            <w:tcW w:w="3968" w:type="dxa"/>
            <w:shd w:val="clear" w:color="auto" w:fill="D9D9D9" w:themeFill="background1" w:themeFillShade="D9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otplatu zajmova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5C73AC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0F5D55" w:rsidRPr="009746AE" w:rsidRDefault="005C73AC" w:rsidP="00C40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Izdaci za otplatu glavnice orimljenih kredita i zajmova</w:t>
            </w:r>
          </w:p>
        </w:tc>
        <w:tc>
          <w:tcPr>
            <w:tcW w:w="2266" w:type="dxa"/>
          </w:tcPr>
          <w:p w:rsidR="000F5D55" w:rsidRPr="009746AE" w:rsidRDefault="005C73AC" w:rsidP="005C73A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  <w:tc>
          <w:tcPr>
            <w:tcW w:w="2266" w:type="dxa"/>
          </w:tcPr>
          <w:p w:rsidR="000F5D55" w:rsidRPr="009746AE" w:rsidRDefault="005C73AC" w:rsidP="005C73A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6.709,18</w:t>
            </w: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F5D55" w:rsidRPr="009746AE" w:rsidRDefault="000F5D55" w:rsidP="00C4010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55" w:rsidRPr="009746AE" w:rsidTr="00C40107">
        <w:tc>
          <w:tcPr>
            <w:tcW w:w="3968" w:type="dxa"/>
          </w:tcPr>
          <w:p w:rsidR="000F5D55" w:rsidRPr="009746AE" w:rsidRDefault="000F5D55" w:rsidP="00C401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0F5D55" w:rsidRPr="009746AE" w:rsidRDefault="005C73AC" w:rsidP="005C73A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10.545,44</w:t>
            </w:r>
          </w:p>
        </w:tc>
        <w:tc>
          <w:tcPr>
            <w:tcW w:w="2266" w:type="dxa"/>
          </w:tcPr>
          <w:p w:rsidR="000F5D55" w:rsidRPr="009746AE" w:rsidRDefault="005C73AC" w:rsidP="005C73A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6.709,18</w:t>
            </w:r>
          </w:p>
        </w:tc>
      </w:tr>
    </w:tbl>
    <w:p w:rsidR="000F5D55" w:rsidRPr="00DB1169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5443 Otplata glavnice primljenih kredita od tuzemnih kreditnih institucija izvan javnog sektora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Izdaci u 202</w:t>
      </w:r>
      <w:r w:rsidR="005C73AC">
        <w:rPr>
          <w:rFonts w:ascii="Times New Roman" w:hAnsi="Times New Roman" w:cs="Times New Roman"/>
          <w:sz w:val="24"/>
          <w:szCs w:val="24"/>
        </w:rPr>
        <w:t>4</w:t>
      </w:r>
      <w:r w:rsidRPr="001610C0">
        <w:rPr>
          <w:rFonts w:ascii="Times New Roman" w:hAnsi="Times New Roman" w:cs="Times New Roman"/>
          <w:sz w:val="24"/>
          <w:szCs w:val="24"/>
        </w:rPr>
        <w:t>. godini izn</w:t>
      </w:r>
      <w:r w:rsidR="005C73AC">
        <w:rPr>
          <w:rFonts w:ascii="Times New Roman" w:hAnsi="Times New Roman" w:cs="Times New Roman"/>
          <w:sz w:val="24"/>
          <w:szCs w:val="24"/>
        </w:rPr>
        <w:t>ose</w:t>
      </w:r>
      <w:r w:rsidRPr="001610C0">
        <w:rPr>
          <w:rFonts w:ascii="Times New Roman" w:hAnsi="Times New Roman" w:cs="Times New Roman"/>
          <w:sz w:val="24"/>
          <w:szCs w:val="24"/>
        </w:rPr>
        <w:t xml:space="preserve"> </w:t>
      </w:r>
      <w:r w:rsidR="005C73AC">
        <w:rPr>
          <w:rFonts w:ascii="Times New Roman" w:hAnsi="Times New Roman" w:cs="Times New Roman"/>
          <w:sz w:val="24"/>
          <w:szCs w:val="24"/>
        </w:rPr>
        <w:t>6.709,18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1610C0">
        <w:rPr>
          <w:rFonts w:ascii="Times New Roman" w:hAnsi="Times New Roman" w:cs="Times New Roman"/>
          <w:sz w:val="24"/>
          <w:szCs w:val="24"/>
        </w:rPr>
        <w:t xml:space="preserve"> a odnose se na otplatu financijskog leasninga.</w:t>
      </w:r>
      <w:r w:rsidR="005C73AC">
        <w:rPr>
          <w:rFonts w:ascii="Times New Roman" w:hAnsi="Times New Roman" w:cs="Times New Roman"/>
          <w:sz w:val="24"/>
          <w:szCs w:val="24"/>
        </w:rPr>
        <w:t xml:space="preserve"> Zaključno s m</w:t>
      </w:r>
      <w:r w:rsidR="004A239E">
        <w:rPr>
          <w:rFonts w:ascii="Times New Roman" w:hAnsi="Times New Roman" w:cs="Times New Roman"/>
          <w:sz w:val="24"/>
          <w:szCs w:val="24"/>
        </w:rPr>
        <w:t>jesecom</w:t>
      </w:r>
      <w:r w:rsidR="005C73AC">
        <w:rPr>
          <w:rFonts w:ascii="Times New Roman" w:hAnsi="Times New Roman" w:cs="Times New Roman"/>
          <w:sz w:val="24"/>
          <w:szCs w:val="24"/>
        </w:rPr>
        <w:t xml:space="preserve"> kolovozom 2024.g. otplaćen je financijski leasing za nabavku traktora s priključcima.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D9093A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93A">
        <w:rPr>
          <w:rFonts w:ascii="Times New Roman" w:hAnsi="Times New Roman" w:cs="Times New Roman"/>
          <w:b/>
          <w:sz w:val="24"/>
          <w:szCs w:val="24"/>
        </w:rPr>
        <w:t xml:space="preserve">Šifra X005 Višak prihoda i primitaka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5C73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ostvareni višak je </w:t>
      </w:r>
      <w:r w:rsidR="005C73AC">
        <w:rPr>
          <w:rFonts w:ascii="Times New Roman" w:hAnsi="Times New Roman" w:cs="Times New Roman"/>
          <w:sz w:val="24"/>
          <w:szCs w:val="24"/>
        </w:rPr>
        <w:t>203.669,61 eura koji se najvećim dijelom odnosi radi prihoda od prodaje zemljišta.</w:t>
      </w:r>
    </w:p>
    <w:p w:rsidR="000F5D55" w:rsidRPr="00D9093A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9093A">
        <w:rPr>
          <w:rFonts w:ascii="Times New Roman" w:hAnsi="Times New Roman" w:cs="Times New Roman"/>
          <w:b/>
          <w:sz w:val="24"/>
          <w:szCs w:val="24"/>
        </w:rPr>
        <w:t>Šifra Višak prihoda i primitaka preneseni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5C73AC">
        <w:rPr>
          <w:rFonts w:ascii="Times New Roman" w:hAnsi="Times New Roman" w:cs="Times New Roman"/>
          <w:sz w:val="24"/>
          <w:szCs w:val="24"/>
        </w:rPr>
        <w:t>251.010,78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X006 Višak prihoda i primitaka raspoloživ u slijedećem razdoblju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U 202</w:t>
      </w:r>
      <w:r w:rsidR="005C73AC">
        <w:rPr>
          <w:rFonts w:ascii="Times New Roman" w:hAnsi="Times New Roman" w:cs="Times New Roman"/>
          <w:sz w:val="24"/>
          <w:szCs w:val="24"/>
        </w:rPr>
        <w:t>4</w:t>
      </w:r>
      <w:r w:rsidRPr="001610C0">
        <w:rPr>
          <w:rFonts w:ascii="Times New Roman" w:hAnsi="Times New Roman" w:cs="Times New Roman"/>
          <w:sz w:val="24"/>
          <w:szCs w:val="24"/>
        </w:rPr>
        <w:t xml:space="preserve"> godini ostvaren je višak prihoda i primitaka nad rashodima i izdacima u iznosu od </w:t>
      </w:r>
      <w:r w:rsidR="005C73AC">
        <w:rPr>
          <w:rFonts w:ascii="Times New Roman" w:hAnsi="Times New Roman" w:cs="Times New Roman"/>
          <w:sz w:val="24"/>
          <w:szCs w:val="24"/>
        </w:rPr>
        <w:t>454.680,39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5C73AC" w:rsidRDefault="005C73AC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5C73AC" w:rsidRDefault="005C73AC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5C73AC" w:rsidRDefault="005C73AC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5C73AC" w:rsidRDefault="005C73AC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>
        <w:rPr>
          <w:rFonts w:ascii="Times New Roman" w:hAnsi="Times New Roman" w:cs="Times New Roman"/>
          <w:b/>
          <w:i/>
          <w:sz w:val="24"/>
          <w:szCs w:val="24"/>
        </w:rPr>
        <w:t>BILANCA</w:t>
      </w: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Ukupna imovina u 202</w:t>
      </w:r>
      <w:r w:rsidR="004A239E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 </w:t>
      </w:r>
      <w:r w:rsidR="004A239E">
        <w:rPr>
          <w:rFonts w:ascii="Times New Roman" w:hAnsi="Times New Roman" w:cs="Times New Roman"/>
          <w:sz w:val="24"/>
          <w:szCs w:val="24"/>
        </w:rPr>
        <w:t>iznosi 9.658.280,75 eura i index izvršenja u odnosu na isto izvještajno razdoblje prošle godine 105,7%.</w:t>
      </w:r>
    </w:p>
    <w:p w:rsidR="000F5D55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</w:t>
      </w:r>
      <w:r w:rsidR="004A239E">
        <w:rPr>
          <w:rFonts w:ascii="Times New Roman" w:hAnsi="Times New Roman" w:cs="Times New Roman"/>
          <w:b/>
          <w:sz w:val="24"/>
          <w:szCs w:val="24"/>
        </w:rPr>
        <w:t>22 Komunikacijska oprema</w:t>
      </w:r>
    </w:p>
    <w:p w:rsidR="000F5D55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0C6E">
        <w:rPr>
          <w:rFonts w:ascii="Times New Roman" w:hAnsi="Times New Roman" w:cs="Times New Roman"/>
          <w:sz w:val="24"/>
          <w:szCs w:val="24"/>
        </w:rPr>
        <w:t>Indeks izvršenja u odnosu na 202</w:t>
      </w:r>
      <w:r w:rsidR="004A239E">
        <w:rPr>
          <w:rFonts w:ascii="Times New Roman" w:hAnsi="Times New Roman" w:cs="Times New Roman"/>
          <w:sz w:val="24"/>
          <w:szCs w:val="24"/>
        </w:rPr>
        <w:t>3. godinu je153,9</w:t>
      </w:r>
      <w:r w:rsidRPr="002C0C6E">
        <w:rPr>
          <w:rFonts w:ascii="Times New Roman" w:hAnsi="Times New Roman" w:cs="Times New Roman"/>
          <w:sz w:val="24"/>
          <w:szCs w:val="24"/>
        </w:rPr>
        <w:t xml:space="preserve">% a razlog povećanja je  </w:t>
      </w:r>
      <w:r w:rsidR="004A239E">
        <w:rPr>
          <w:rFonts w:ascii="Times New Roman" w:hAnsi="Times New Roman" w:cs="Times New Roman"/>
          <w:sz w:val="24"/>
          <w:szCs w:val="24"/>
        </w:rPr>
        <w:t>nabavk</w:t>
      </w:r>
      <w:r w:rsidR="006D2C50">
        <w:rPr>
          <w:rFonts w:ascii="Times New Roman" w:hAnsi="Times New Roman" w:cs="Times New Roman"/>
          <w:sz w:val="24"/>
          <w:szCs w:val="24"/>
        </w:rPr>
        <w:t>a</w:t>
      </w:r>
      <w:r w:rsidR="004A239E">
        <w:rPr>
          <w:rFonts w:ascii="Times New Roman" w:hAnsi="Times New Roman" w:cs="Times New Roman"/>
          <w:sz w:val="24"/>
          <w:szCs w:val="24"/>
        </w:rPr>
        <w:t xml:space="preserve"> 4 službena mobitela.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A34">
        <w:rPr>
          <w:rFonts w:ascii="Times New Roman" w:hAnsi="Times New Roman" w:cs="Times New Roman"/>
          <w:b/>
          <w:sz w:val="24"/>
          <w:szCs w:val="24"/>
        </w:rPr>
        <w:t>Šifra 0227 Uređaji, strojevi i oprema za ostale namjene</w:t>
      </w:r>
    </w:p>
    <w:p w:rsidR="000F5D55" w:rsidRPr="00405A34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A34">
        <w:rPr>
          <w:rFonts w:ascii="Times New Roman" w:hAnsi="Times New Roman" w:cs="Times New Roman"/>
          <w:sz w:val="24"/>
          <w:szCs w:val="24"/>
        </w:rPr>
        <w:t>Navedena šifra u 202</w:t>
      </w:r>
      <w:r w:rsidR="004A239E">
        <w:rPr>
          <w:rFonts w:ascii="Times New Roman" w:hAnsi="Times New Roman" w:cs="Times New Roman"/>
          <w:sz w:val="24"/>
          <w:szCs w:val="24"/>
        </w:rPr>
        <w:t>4</w:t>
      </w:r>
      <w:r w:rsidRPr="00405A34">
        <w:rPr>
          <w:rFonts w:ascii="Times New Roman" w:hAnsi="Times New Roman" w:cs="Times New Roman"/>
          <w:sz w:val="24"/>
          <w:szCs w:val="24"/>
        </w:rPr>
        <w:t>. godini bilježi porast radi nabavne novih uređa</w:t>
      </w:r>
      <w:r w:rsidR="004A239E">
        <w:rPr>
          <w:rFonts w:ascii="Times New Roman" w:hAnsi="Times New Roman" w:cs="Times New Roman"/>
          <w:sz w:val="24"/>
          <w:szCs w:val="24"/>
        </w:rPr>
        <w:t>ja za potrebe komunalnog pogona i troškove obnove dječjih igrališta.</w:t>
      </w:r>
    </w:p>
    <w:p w:rsidR="000F5D55" w:rsidRPr="00405A34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6D2C50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</w:t>
      </w:r>
      <w:r w:rsidR="006D2C50">
        <w:rPr>
          <w:rFonts w:ascii="Times New Roman" w:hAnsi="Times New Roman" w:cs="Times New Roman"/>
          <w:b/>
          <w:sz w:val="24"/>
          <w:szCs w:val="24"/>
        </w:rPr>
        <w:t xml:space="preserve">ra 11 Novac u banci i blagajni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stavka odnosi se na novčana sredstva na računima i u blagajni. Stanje računa HR</w:t>
      </w:r>
      <w:r>
        <w:rPr>
          <w:rFonts w:ascii="Times New Roman" w:hAnsi="Times New Roman" w:cs="Times New Roman"/>
          <w:sz w:val="24"/>
          <w:szCs w:val="24"/>
        </w:rPr>
        <w:t xml:space="preserve">1523900011834900004 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dan 31. prosinca 202</w:t>
      </w:r>
      <w:r w:rsidR="004A239E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4A239E">
        <w:rPr>
          <w:rFonts w:ascii="Times New Roman" w:hAnsi="Times New Roman" w:cs="Times New Roman"/>
          <w:sz w:val="24"/>
          <w:szCs w:val="24"/>
        </w:rPr>
        <w:t>665.5454,14 eura</w:t>
      </w:r>
      <w:r>
        <w:rPr>
          <w:rFonts w:ascii="Times New Roman" w:hAnsi="Times New Roman" w:cs="Times New Roman"/>
          <w:sz w:val="24"/>
          <w:szCs w:val="24"/>
        </w:rPr>
        <w:t xml:space="preserve"> a stanje novčanih sredstava u blagajni na dan 31.12.202</w:t>
      </w:r>
      <w:r w:rsidR="004A2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4A239E">
        <w:rPr>
          <w:rFonts w:ascii="Times New Roman" w:hAnsi="Times New Roman" w:cs="Times New Roman"/>
          <w:sz w:val="24"/>
          <w:szCs w:val="24"/>
        </w:rPr>
        <w:t>432,84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>
        <w:rPr>
          <w:rFonts w:ascii="Times New Roman" w:hAnsi="Times New Roman" w:cs="Times New Roman"/>
          <w:b/>
          <w:sz w:val="24"/>
          <w:szCs w:val="24"/>
        </w:rPr>
        <w:t>129 Ostala potraživanja</w:t>
      </w:r>
    </w:p>
    <w:p w:rsidR="00E413F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 xml:space="preserve">Ostala potraživanja iznose </w:t>
      </w:r>
      <w:r w:rsidR="004A239E">
        <w:rPr>
          <w:rFonts w:ascii="Times New Roman" w:hAnsi="Times New Roman" w:cs="Times New Roman"/>
          <w:sz w:val="24"/>
          <w:szCs w:val="24"/>
        </w:rPr>
        <w:t>10.914,98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9760BF">
        <w:rPr>
          <w:rFonts w:ascii="Times New Roman" w:hAnsi="Times New Roman" w:cs="Times New Roman"/>
          <w:sz w:val="24"/>
          <w:szCs w:val="24"/>
        </w:rPr>
        <w:t xml:space="preserve"> a odn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9760BF">
        <w:rPr>
          <w:rFonts w:ascii="Times New Roman" w:hAnsi="Times New Roman" w:cs="Times New Roman"/>
          <w:sz w:val="24"/>
          <w:szCs w:val="24"/>
        </w:rPr>
        <w:t xml:space="preserve"> se na potraživanja za refu</w:t>
      </w:r>
      <w:r>
        <w:rPr>
          <w:rFonts w:ascii="Times New Roman" w:hAnsi="Times New Roman" w:cs="Times New Roman"/>
          <w:sz w:val="24"/>
          <w:szCs w:val="24"/>
        </w:rPr>
        <w:t>ndaciju naknada za bo</w:t>
      </w:r>
      <w:r w:rsidRPr="009760BF">
        <w:rPr>
          <w:rFonts w:ascii="Times New Roman" w:hAnsi="Times New Roman" w:cs="Times New Roman"/>
          <w:sz w:val="24"/>
          <w:szCs w:val="24"/>
        </w:rPr>
        <w:t>lovanje preko 42 dana od Hrvatskog z</w:t>
      </w:r>
      <w:r w:rsidR="004A239E">
        <w:rPr>
          <w:rFonts w:ascii="Times New Roman" w:hAnsi="Times New Roman" w:cs="Times New Roman"/>
          <w:sz w:val="24"/>
          <w:szCs w:val="24"/>
        </w:rPr>
        <w:t xml:space="preserve">avoda za zdravstveno osiguranje te </w:t>
      </w:r>
      <w:r w:rsidR="00E413F5">
        <w:rPr>
          <w:rFonts w:ascii="Times New Roman" w:hAnsi="Times New Roman" w:cs="Times New Roman"/>
          <w:sz w:val="24"/>
          <w:szCs w:val="24"/>
        </w:rPr>
        <w:t xml:space="preserve"> potraživanja za dane predujmove.</w:t>
      </w:r>
    </w:p>
    <w:p w:rsidR="00E413F5" w:rsidRDefault="00E413F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E413F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F5D55">
        <w:rPr>
          <w:rFonts w:ascii="Times New Roman" w:hAnsi="Times New Roman" w:cs="Times New Roman"/>
          <w:b/>
          <w:sz w:val="24"/>
          <w:szCs w:val="24"/>
        </w:rPr>
        <w:t>15 Dionice i udjeli u glavnici</w:t>
      </w:r>
    </w:p>
    <w:p w:rsidR="000F5D55" w:rsidRPr="009760BF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Odnosi se na udio Općine Posedarje u poduzećima Liburnija d.o.o., Čistoća d.o.o. Zadar, Vodovod d.o.o. Zadar.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E413F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 Potraživanja za prihode poslovanja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poreze, potraživanja za prihode od imovine, potraživanja za upravne i administrativne pristojbe, pristojbe po posebnim propisima i naknade.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Potraživanja za poreze (Šifra 161) odnose na potraživanja za porez na potrošnju,  porez na kuće za odmor i porez na promet nekretnina. Navedena potraživanja iznose </w:t>
      </w:r>
      <w:r w:rsidR="00E413F5">
        <w:rPr>
          <w:rFonts w:ascii="Times New Roman" w:hAnsi="Times New Roman" w:cs="Times New Roman"/>
          <w:sz w:val="24"/>
          <w:szCs w:val="24"/>
        </w:rPr>
        <w:t>129.321,38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Potraživanja za prihode od imovine (Šifra 164) iznose </w:t>
      </w:r>
      <w:r w:rsidR="00E413F5">
        <w:rPr>
          <w:rFonts w:ascii="Times New Roman" w:hAnsi="Times New Roman" w:cs="Times New Roman"/>
          <w:sz w:val="24"/>
          <w:szCs w:val="24"/>
        </w:rPr>
        <w:t>32.816,70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Pr="009746AE">
        <w:rPr>
          <w:rFonts w:ascii="Times New Roman" w:hAnsi="Times New Roman" w:cs="Times New Roman"/>
          <w:sz w:val="24"/>
          <w:szCs w:val="24"/>
        </w:rPr>
        <w:t>i većina potraživanja odnosi se na potraživanja od zakupa i iznajmljivanja imovine</w:t>
      </w:r>
      <w:r>
        <w:rPr>
          <w:rFonts w:ascii="Times New Roman" w:hAnsi="Times New Roman" w:cs="Times New Roman"/>
          <w:sz w:val="24"/>
          <w:szCs w:val="24"/>
        </w:rPr>
        <w:t xml:space="preserve"> i naknade od legalizacije nezakonito izgrađenih objekata.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Najveći dio potraživanja za prihode poslovanja odnosi se na potraživanja za upravne i administrativne pristojbe, pristojbe po posebnim propisima i naknade (Šifra 165) u ukupnom iznosu od </w:t>
      </w:r>
      <w:r w:rsidR="00E413F5">
        <w:rPr>
          <w:rFonts w:ascii="Times New Roman" w:hAnsi="Times New Roman" w:cs="Times New Roman"/>
          <w:sz w:val="24"/>
          <w:szCs w:val="24"/>
        </w:rPr>
        <w:t>504.126,62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E413F5" w:rsidRDefault="00E413F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E413F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169 Ispravak vrijednosti potraživanja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lastRenderedPageBreak/>
        <w:t xml:space="preserve">Člankom 37.a Pravilnika o izmjenama i dopunama Pravilnika o proračunskom računovodstvu i računskom planu propisani su uvjeti za provođenje ispravka vrijednosti potraživanja na kraju godine te je navedeno i provedeno i iznosi </w:t>
      </w:r>
      <w:r w:rsidR="00E413F5">
        <w:rPr>
          <w:rFonts w:ascii="Times New Roman" w:hAnsi="Times New Roman" w:cs="Times New Roman"/>
          <w:sz w:val="24"/>
          <w:szCs w:val="24"/>
        </w:rPr>
        <w:t>353.947,63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E413F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17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prihode od prodaje građevinskog zemljišta</w:t>
      </w:r>
      <w:r>
        <w:rPr>
          <w:rFonts w:ascii="Times New Roman" w:hAnsi="Times New Roman" w:cs="Times New Roman"/>
          <w:sz w:val="24"/>
          <w:szCs w:val="24"/>
        </w:rPr>
        <w:t xml:space="preserve">. Potraživanja iznose </w:t>
      </w:r>
      <w:r w:rsidR="00E413F5">
        <w:rPr>
          <w:rFonts w:ascii="Times New Roman" w:hAnsi="Times New Roman" w:cs="Times New Roman"/>
          <w:sz w:val="24"/>
          <w:szCs w:val="24"/>
        </w:rPr>
        <w:t>112.411,77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E413F5">
      <w:pPr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179 Ispravak vrijednosti potraživanja za prodanu nefinancijsku imovinu</w:t>
      </w:r>
      <w:r w:rsidRPr="009746AE">
        <w:rPr>
          <w:rFonts w:ascii="Times New Roman" w:hAnsi="Times New Roman" w:cs="Times New Roman"/>
          <w:sz w:val="24"/>
          <w:szCs w:val="24"/>
        </w:rPr>
        <w:t xml:space="preserve">Člankom 37.a Pravilnika o izmjenama i dopunama Pravilnika o proračunskom računovodstvu i računskom planu propisani su uvjeti za provođenje ispravka vrijednosti potraživanja na kraju godine te je navedeno i provedeno i iznosi </w:t>
      </w:r>
      <w:r w:rsidR="00E413F5">
        <w:rPr>
          <w:rFonts w:ascii="Times New Roman" w:hAnsi="Times New Roman" w:cs="Times New Roman"/>
          <w:sz w:val="24"/>
          <w:szCs w:val="24"/>
        </w:rPr>
        <w:t>11.467,89</w:t>
      </w:r>
      <w:r>
        <w:rPr>
          <w:rFonts w:ascii="Times New Roman" w:hAnsi="Times New Roman" w:cs="Times New Roman"/>
          <w:sz w:val="24"/>
          <w:szCs w:val="24"/>
        </w:rPr>
        <w:t>. Iz prikazanog je za uočiti da su plaćena potraživanja iz prethodnih godina na kojima je vršen ispravak potraživanja.</w:t>
      </w:r>
    </w:p>
    <w:p w:rsidR="00E413F5" w:rsidRDefault="00E413F5" w:rsidP="00E413F5">
      <w:pPr>
        <w:jc w:val="both"/>
        <w:rPr>
          <w:rFonts w:ascii="Times New Roman" w:hAnsi="Times New Roman" w:cs="Times New Roman"/>
          <w:sz w:val="24"/>
          <w:szCs w:val="24"/>
        </w:rPr>
      </w:pPr>
      <w:r w:rsidRPr="00E413F5">
        <w:rPr>
          <w:rFonts w:ascii="Times New Roman" w:hAnsi="Times New Roman" w:cs="Times New Roman"/>
          <w:b/>
          <w:sz w:val="24"/>
          <w:szCs w:val="24"/>
        </w:rPr>
        <w:t>Šifra 193 Kontinuirani rashodi budućih razdoblja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3F5" w:rsidRPr="00E413F5" w:rsidRDefault="00E413F5" w:rsidP="00E413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budućih razdoblja iznose 39.802,14 eura a odnose se na bruto plaću za mjesec prosinac 2024. godine.</w:t>
      </w:r>
    </w:p>
    <w:p w:rsidR="00E413F5" w:rsidRPr="00E413F5" w:rsidRDefault="00E413F5" w:rsidP="00E413F5">
      <w:pPr>
        <w:pStyle w:val="NoSpacing"/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2 Obveze </w:t>
      </w: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Obveze za rashode poslovanja (Šifra 23)  iznose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E413F5">
        <w:rPr>
          <w:rFonts w:ascii="Times New Roman" w:hAnsi="Times New Roman" w:cs="Times New Roman"/>
          <w:sz w:val="24"/>
          <w:szCs w:val="24"/>
        </w:rPr>
        <w:t>8.416,49 eura</w:t>
      </w:r>
      <w:r>
        <w:rPr>
          <w:rFonts w:ascii="Times New Roman" w:hAnsi="Times New Roman" w:cs="Times New Roman"/>
          <w:sz w:val="24"/>
          <w:szCs w:val="24"/>
        </w:rPr>
        <w:t xml:space="preserve"> od čega obveze za zaposlene (šifra 231) iznose </w:t>
      </w:r>
      <w:r w:rsidR="00E413F5">
        <w:rPr>
          <w:rFonts w:ascii="Times New Roman" w:hAnsi="Times New Roman" w:cs="Times New Roman"/>
          <w:sz w:val="24"/>
          <w:szCs w:val="24"/>
        </w:rPr>
        <w:t>39.559,58</w:t>
      </w:r>
      <w:r>
        <w:rPr>
          <w:rFonts w:ascii="Times New Roman" w:hAnsi="Times New Roman" w:cs="Times New Roman"/>
          <w:sz w:val="24"/>
          <w:szCs w:val="24"/>
        </w:rPr>
        <w:t xml:space="preserve"> eura, obveze za materijalne rashode (šifra 232) iznose </w:t>
      </w:r>
      <w:r w:rsidR="00E413F5">
        <w:rPr>
          <w:rFonts w:ascii="Times New Roman" w:hAnsi="Times New Roman" w:cs="Times New Roman"/>
          <w:sz w:val="24"/>
          <w:szCs w:val="24"/>
        </w:rPr>
        <w:t>132.507,57</w:t>
      </w:r>
      <w:r>
        <w:rPr>
          <w:rFonts w:ascii="Times New Roman" w:hAnsi="Times New Roman" w:cs="Times New Roman"/>
          <w:sz w:val="24"/>
          <w:szCs w:val="24"/>
        </w:rPr>
        <w:t xml:space="preserve"> eura, obveze za financijske rashode (šifra) 234 iznose </w:t>
      </w:r>
      <w:r w:rsidR="00E413F5">
        <w:rPr>
          <w:rFonts w:ascii="Times New Roman" w:hAnsi="Times New Roman" w:cs="Times New Roman"/>
          <w:sz w:val="24"/>
          <w:szCs w:val="24"/>
        </w:rPr>
        <w:t>29,05</w:t>
      </w:r>
      <w:r>
        <w:rPr>
          <w:rFonts w:ascii="Times New Roman" w:hAnsi="Times New Roman" w:cs="Times New Roman"/>
          <w:sz w:val="24"/>
          <w:szCs w:val="24"/>
        </w:rPr>
        <w:t xml:space="preserve"> eura,  obveze za naknade građanima i kućanstvima (šifra) 237 iznose </w:t>
      </w:r>
      <w:r w:rsidR="00E413F5">
        <w:rPr>
          <w:rFonts w:ascii="Times New Roman" w:hAnsi="Times New Roman" w:cs="Times New Roman"/>
          <w:sz w:val="24"/>
          <w:szCs w:val="24"/>
        </w:rPr>
        <w:t>802,16</w:t>
      </w:r>
      <w:r>
        <w:rPr>
          <w:rFonts w:ascii="Times New Roman" w:hAnsi="Times New Roman" w:cs="Times New Roman"/>
          <w:sz w:val="24"/>
          <w:szCs w:val="24"/>
        </w:rPr>
        <w:t xml:space="preserve"> eura, ostale tekuće obveze (šifra 239) iznose </w:t>
      </w:r>
      <w:r w:rsidR="0048568C">
        <w:rPr>
          <w:rFonts w:ascii="Times New Roman" w:hAnsi="Times New Roman" w:cs="Times New Roman"/>
          <w:sz w:val="24"/>
          <w:szCs w:val="24"/>
        </w:rPr>
        <w:t>5.458,13</w:t>
      </w:r>
      <w:r>
        <w:rPr>
          <w:rFonts w:ascii="Times New Roman" w:hAnsi="Times New Roman" w:cs="Times New Roman"/>
          <w:sz w:val="24"/>
          <w:szCs w:val="24"/>
        </w:rPr>
        <w:t>2 eura.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Obveze za nabavu nefinancijske imovine (Šifra 24) iznose </w:t>
      </w:r>
      <w:r w:rsidR="0048568C">
        <w:rPr>
          <w:rFonts w:ascii="Times New Roman" w:hAnsi="Times New Roman" w:cs="Times New Roman"/>
          <w:sz w:val="24"/>
          <w:szCs w:val="24"/>
        </w:rPr>
        <w:t>76.237,50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Naplaćeni prihodi budućih razdoblja (Šifra 292) odnose se na prihode od jamčevina u iznosu od </w:t>
      </w:r>
      <w:r w:rsidR="0048568C">
        <w:rPr>
          <w:rFonts w:ascii="Times New Roman" w:hAnsi="Times New Roman" w:cs="Times New Roman"/>
          <w:sz w:val="24"/>
          <w:szCs w:val="24"/>
        </w:rPr>
        <w:t>8.398,99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48568C">
        <w:rPr>
          <w:rFonts w:ascii="Times New Roman" w:hAnsi="Times New Roman" w:cs="Times New Roman"/>
          <w:sz w:val="24"/>
          <w:szCs w:val="24"/>
        </w:rPr>
        <w:t>a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će biti raspoređena u 202</w:t>
      </w:r>
      <w:r w:rsidR="0048568C">
        <w:rPr>
          <w:rFonts w:ascii="Times New Roman" w:hAnsi="Times New Roman" w:cs="Times New Roman"/>
          <w:sz w:val="24"/>
          <w:szCs w:val="24"/>
        </w:rPr>
        <w:t>5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 Vlastiti izvori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746AE">
        <w:rPr>
          <w:rFonts w:ascii="Times New Roman" w:hAnsi="Times New Roman" w:cs="Times New Roman"/>
          <w:sz w:val="24"/>
          <w:szCs w:val="24"/>
        </w:rPr>
        <w:t>lastiti izvori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48568C">
        <w:rPr>
          <w:rFonts w:ascii="Times New Roman" w:hAnsi="Times New Roman" w:cs="Times New Roman"/>
          <w:sz w:val="24"/>
          <w:szCs w:val="24"/>
        </w:rPr>
        <w:t>9.395.227,77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Sukladno članku 82. Pravilnika o proračunskom računovodstvu i računskom planu izvršena je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korekcija rezultata na računu 922. Korigiran je rezultat za iznos od </w:t>
      </w:r>
      <w:r w:rsidR="0048568C">
        <w:rPr>
          <w:rFonts w:ascii="Times New Roman" w:hAnsi="Times New Roman" w:cs="Times New Roman"/>
          <w:sz w:val="24"/>
          <w:szCs w:val="24"/>
        </w:rPr>
        <w:t>23.600,00</w:t>
      </w:r>
      <w:r>
        <w:rPr>
          <w:rFonts w:ascii="Times New Roman" w:hAnsi="Times New Roman" w:cs="Times New Roman"/>
          <w:sz w:val="24"/>
          <w:szCs w:val="24"/>
        </w:rPr>
        <w:t xml:space="preserve"> eura za dobiven</w:t>
      </w:r>
      <w:r w:rsidR="006D2C5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kapitalnu pomoć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je utrošena za nabavu dugotrajne nefinancijske imovine zaduženjem računa viška prihoda poslovanja, a odobravanjem računa manjka prihoda od nefinancijske imovine.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Podatak u Bilanci je naveden nakon provedene korekcije rezultata.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dan 31. prosinca 202</w:t>
      </w:r>
      <w:r w:rsidR="0048568C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godine višak prihoda poslovanja iznosi </w:t>
      </w:r>
      <w:r w:rsidR="0048568C">
        <w:rPr>
          <w:rFonts w:ascii="Times New Roman" w:hAnsi="Times New Roman" w:cs="Times New Roman"/>
          <w:sz w:val="24"/>
          <w:szCs w:val="24"/>
        </w:rPr>
        <w:t xml:space="preserve">1.634.363,23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4856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primitaka od fianancijske imovine iznosi </w:t>
      </w:r>
      <w:r w:rsidR="0048568C">
        <w:rPr>
          <w:rFonts w:ascii="Times New Roman" w:hAnsi="Times New Roman" w:cs="Times New Roman"/>
          <w:sz w:val="24"/>
          <w:szCs w:val="24"/>
        </w:rPr>
        <w:t>36.761,22</w:t>
      </w:r>
      <w:r>
        <w:rPr>
          <w:rFonts w:ascii="Times New Roman" w:hAnsi="Times New Roman" w:cs="Times New Roman"/>
          <w:sz w:val="24"/>
          <w:szCs w:val="24"/>
        </w:rPr>
        <w:t xml:space="preserve"> eura te manjak prihoda od nefinancijske imovine iznosi </w:t>
      </w:r>
      <w:r w:rsidR="0048568C">
        <w:rPr>
          <w:rFonts w:ascii="Times New Roman" w:hAnsi="Times New Roman" w:cs="Times New Roman"/>
          <w:sz w:val="24"/>
          <w:szCs w:val="24"/>
        </w:rPr>
        <w:t>1.142.921,62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Višak prihoda za raspored u sljedećoj proračunskoj godini iznosi</w:t>
      </w:r>
      <w:r w:rsidR="006D2C50">
        <w:rPr>
          <w:rFonts w:ascii="Times New Roman" w:hAnsi="Times New Roman" w:cs="Times New Roman"/>
          <w:sz w:val="24"/>
          <w:szCs w:val="24"/>
        </w:rPr>
        <w:t xml:space="preserve"> </w:t>
      </w:r>
      <w:r w:rsidR="0048568C">
        <w:rPr>
          <w:rFonts w:ascii="Times New Roman" w:hAnsi="Times New Roman" w:cs="Times New Roman"/>
          <w:sz w:val="24"/>
          <w:szCs w:val="24"/>
        </w:rPr>
        <w:t>454.680,39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991 i 996 Izvanbilančni zapisi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 izvanbilančnim zapisima nalazi se ukupna vrijednost potencijalnih obveza po sudskim sporovima u iznosu od </w:t>
      </w:r>
      <w:r>
        <w:rPr>
          <w:rFonts w:ascii="Times New Roman" w:hAnsi="Times New Roman" w:cs="Times New Roman"/>
          <w:sz w:val="24"/>
          <w:szCs w:val="24"/>
        </w:rPr>
        <w:t>149.594,49 eura. Vrijdnost je smanjena u odnosu na početno stanje radi okončanja sporova s Colas Varaždin , Davor Demo i s Aldom Jurčević.</w:t>
      </w:r>
    </w:p>
    <w:p w:rsidR="000F5D55" w:rsidRPr="009746AE" w:rsidRDefault="000F5D55" w:rsidP="000F5D5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Rashodi prema funkcijskoj klasifikaciji: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Prema funkcijskoj klasifikaciji razvrstani su rashodi poslovanja i rashodi za nabavu nefinancijske imovine.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530">
        <w:rPr>
          <w:rFonts w:ascii="Times New Roman" w:hAnsi="Times New Roman" w:cs="Times New Roman"/>
          <w:b/>
          <w:sz w:val="24"/>
          <w:szCs w:val="24"/>
        </w:rPr>
        <w:t>Šifra 011 Izvršna i zakonodavna tijela, financijski i fiskalni poslovi, vanjski poslovi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7530">
        <w:rPr>
          <w:rFonts w:ascii="Times New Roman" w:hAnsi="Times New Roman" w:cs="Times New Roman"/>
          <w:sz w:val="24"/>
          <w:szCs w:val="24"/>
        </w:rPr>
        <w:t>Troškovi su izvršeni u većem opsegu nego u 202</w:t>
      </w:r>
      <w:r w:rsidR="00EC1C40">
        <w:rPr>
          <w:rFonts w:ascii="Times New Roman" w:hAnsi="Times New Roman" w:cs="Times New Roman"/>
          <w:sz w:val="24"/>
          <w:szCs w:val="24"/>
        </w:rPr>
        <w:t>3</w:t>
      </w:r>
      <w:r w:rsidRPr="008B7530">
        <w:rPr>
          <w:rFonts w:ascii="Times New Roman" w:hAnsi="Times New Roman" w:cs="Times New Roman"/>
          <w:sz w:val="24"/>
          <w:szCs w:val="24"/>
        </w:rPr>
        <w:t xml:space="preserve">. godini i iznose </w:t>
      </w:r>
      <w:r w:rsidR="00EC1C40">
        <w:rPr>
          <w:rFonts w:ascii="Times New Roman" w:hAnsi="Times New Roman" w:cs="Times New Roman"/>
          <w:sz w:val="24"/>
          <w:szCs w:val="24"/>
        </w:rPr>
        <w:t>724.032,34</w:t>
      </w:r>
      <w:r w:rsidRPr="008B7530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EC1C40" w:rsidRPr="008B7530" w:rsidRDefault="00EC1C40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povećanje troškova su utjecali povećani troškovi za redovito funkcioniranje JUO-a te troškovi vezani za prijašnje sudske postupke koje je Općina Posedarje u 2024. godini morala podmiriti.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032 Usluge protupožarne zaštite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</w:t>
      </w:r>
      <w:r w:rsidR="00EC1C40">
        <w:rPr>
          <w:rFonts w:ascii="Times New Roman" w:hAnsi="Times New Roman" w:cs="Times New Roman"/>
          <w:sz w:val="24"/>
          <w:szCs w:val="24"/>
        </w:rPr>
        <w:t>2024. godini</w:t>
      </w:r>
      <w:r w:rsidRPr="009746AE">
        <w:rPr>
          <w:rFonts w:ascii="Times New Roman" w:hAnsi="Times New Roman" w:cs="Times New Roman"/>
          <w:sz w:val="24"/>
          <w:szCs w:val="24"/>
        </w:rPr>
        <w:t xml:space="preserve"> ostvaren</w:t>
      </w:r>
      <w:r w:rsidR="00EC1C40">
        <w:rPr>
          <w:rFonts w:ascii="Times New Roman" w:hAnsi="Times New Roman" w:cs="Times New Roman"/>
          <w:sz w:val="24"/>
          <w:szCs w:val="24"/>
        </w:rPr>
        <w:t>i</w:t>
      </w:r>
      <w:r w:rsidRPr="009746AE">
        <w:rPr>
          <w:rFonts w:ascii="Times New Roman" w:hAnsi="Times New Roman" w:cs="Times New Roman"/>
          <w:sz w:val="24"/>
          <w:szCs w:val="24"/>
        </w:rPr>
        <w:t xml:space="preserve"> s</w:t>
      </w:r>
      <w:r w:rsidR="00EC1C40">
        <w:rPr>
          <w:rFonts w:ascii="Times New Roman" w:hAnsi="Times New Roman" w:cs="Times New Roman"/>
          <w:sz w:val="24"/>
          <w:szCs w:val="24"/>
        </w:rPr>
        <w:t xml:space="preserve">u troškovi za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redovno financiranje DVD-a </w:t>
      </w:r>
      <w:r>
        <w:rPr>
          <w:rFonts w:ascii="Times New Roman" w:hAnsi="Times New Roman" w:cs="Times New Roman"/>
          <w:sz w:val="24"/>
          <w:szCs w:val="24"/>
        </w:rPr>
        <w:t xml:space="preserve">Posedarje i troškovi financiranja planova protupožarne zaštite. Ukupni troškovi iznose </w:t>
      </w:r>
      <w:r w:rsidR="00EC1C40">
        <w:rPr>
          <w:rFonts w:ascii="Times New Roman" w:hAnsi="Times New Roman" w:cs="Times New Roman"/>
          <w:sz w:val="24"/>
          <w:szCs w:val="24"/>
        </w:rPr>
        <w:t>109.966,16 i izvršeni su u razini prošlogodišnjih.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Šifra 0473 Turizam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troškovi vezani uz turizam iznose </w:t>
      </w:r>
      <w:r w:rsidR="00EC1C40">
        <w:rPr>
          <w:rFonts w:ascii="Times New Roman" w:hAnsi="Times New Roman" w:cs="Times New Roman"/>
          <w:sz w:val="24"/>
          <w:szCs w:val="24"/>
        </w:rPr>
        <w:t>239.091,75 eura i veći su nego u 2023.godini.</w:t>
      </w:r>
      <w:r>
        <w:rPr>
          <w:rFonts w:ascii="Times New Roman" w:hAnsi="Times New Roman" w:cs="Times New Roman"/>
          <w:sz w:val="24"/>
          <w:szCs w:val="24"/>
        </w:rPr>
        <w:t xml:space="preserve"> Razlog je aktivnija turistička sezona a shodno tim</w:t>
      </w:r>
      <w:r w:rsidR="00EC1C40">
        <w:rPr>
          <w:rFonts w:ascii="Times New Roman" w:hAnsi="Times New Roman" w:cs="Times New Roman"/>
          <w:sz w:val="24"/>
          <w:szCs w:val="24"/>
        </w:rPr>
        <w:t xml:space="preserve"> i troškovi za ljetna događanja te troškovi nabavke mobilinih prostora za potrebe turističke zajednice.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051 Gospodarenje otpadom</w:t>
      </w:r>
    </w:p>
    <w:p w:rsidR="000F5D55" w:rsidRPr="00EC1C40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08">
        <w:rPr>
          <w:rFonts w:ascii="Times New Roman" w:hAnsi="Times New Roman" w:cs="Times New Roman"/>
          <w:sz w:val="24"/>
          <w:szCs w:val="24"/>
        </w:rPr>
        <w:t xml:space="preserve">Navedena šifra iznosi </w:t>
      </w:r>
      <w:r w:rsidR="00EC1C40">
        <w:rPr>
          <w:rFonts w:ascii="Times New Roman" w:hAnsi="Times New Roman" w:cs="Times New Roman"/>
          <w:sz w:val="24"/>
          <w:szCs w:val="24"/>
        </w:rPr>
        <w:t>136.806,19</w:t>
      </w:r>
      <w:r w:rsidRPr="00684A08">
        <w:rPr>
          <w:rFonts w:ascii="Times New Roman" w:hAnsi="Times New Roman" w:cs="Times New Roman"/>
          <w:sz w:val="24"/>
          <w:szCs w:val="24"/>
        </w:rPr>
        <w:t xml:space="preserve"> eura a odnosi se na troškove odvoza otpada</w:t>
      </w:r>
      <w:r>
        <w:rPr>
          <w:rFonts w:ascii="Times New Roman" w:hAnsi="Times New Roman" w:cs="Times New Roman"/>
          <w:sz w:val="24"/>
          <w:szCs w:val="24"/>
        </w:rPr>
        <w:t xml:space="preserve">, redovne godišnje usluge deratizacije </w:t>
      </w:r>
      <w:r w:rsidRPr="00684A08">
        <w:rPr>
          <w:rFonts w:ascii="Times New Roman" w:hAnsi="Times New Roman" w:cs="Times New Roman"/>
          <w:sz w:val="24"/>
          <w:szCs w:val="24"/>
        </w:rPr>
        <w:t xml:space="preserve"> i sanacije nelegalnih odlagališta.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684A08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t>Šifra 062 Razvoj zajednice</w:t>
      </w:r>
    </w:p>
    <w:p w:rsidR="000F5D55" w:rsidRPr="00684A08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troškovi iznose </w:t>
      </w:r>
      <w:r w:rsidR="00EC1C40">
        <w:rPr>
          <w:rFonts w:ascii="Times New Roman" w:hAnsi="Times New Roman" w:cs="Times New Roman"/>
          <w:sz w:val="24"/>
          <w:szCs w:val="24"/>
        </w:rPr>
        <w:t xml:space="preserve">1.537.484,94 eura </w:t>
      </w:r>
      <w:r>
        <w:rPr>
          <w:rFonts w:ascii="Times New Roman" w:hAnsi="Times New Roman" w:cs="Times New Roman"/>
          <w:sz w:val="24"/>
          <w:szCs w:val="24"/>
        </w:rPr>
        <w:t xml:space="preserve"> i prikazani su troškovi za razvoj komunalne infrastrukture koja pridonose razvoju zajednice.</w:t>
      </w:r>
      <w:r w:rsidR="00EC1C40">
        <w:rPr>
          <w:rFonts w:ascii="Times New Roman" w:hAnsi="Times New Roman" w:cs="Times New Roman"/>
          <w:sz w:val="24"/>
          <w:szCs w:val="24"/>
        </w:rPr>
        <w:t xml:space="preserve"> Troškovi su izvršeni u manjem opsegu nego u 2023. godini.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066 Rashodi vezani za stanovanje i komunalne pogodnosti koji nisu drugdje svrstani</w:t>
      </w:r>
    </w:p>
    <w:p w:rsidR="00C40107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EC1C40">
        <w:rPr>
          <w:rFonts w:ascii="Times New Roman" w:hAnsi="Times New Roman" w:cs="Times New Roman"/>
          <w:sz w:val="24"/>
          <w:szCs w:val="24"/>
        </w:rPr>
        <w:t>18.375,00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C1C40">
        <w:rPr>
          <w:rFonts w:ascii="Times New Roman" w:hAnsi="Times New Roman" w:cs="Times New Roman"/>
          <w:sz w:val="24"/>
          <w:szCs w:val="24"/>
        </w:rPr>
        <w:t>a</w:t>
      </w:r>
      <w:r w:rsidRPr="003B7D78">
        <w:rPr>
          <w:rFonts w:ascii="Times New Roman" w:hAnsi="Times New Roman" w:cs="Times New Roman"/>
          <w:sz w:val="24"/>
          <w:szCs w:val="24"/>
        </w:rPr>
        <w:t xml:space="preserve"> i </w:t>
      </w:r>
      <w:r w:rsidR="00EC1C40">
        <w:rPr>
          <w:rFonts w:ascii="Times New Roman" w:hAnsi="Times New Roman" w:cs="Times New Roman"/>
          <w:sz w:val="24"/>
          <w:szCs w:val="24"/>
        </w:rPr>
        <w:t>manji su nego u 2023. godini jer su u 2024. godini ostvarena manja ulaganja u infrastrukturu.</w:t>
      </w:r>
    </w:p>
    <w:p w:rsidR="000F5D55" w:rsidRDefault="00EC1C40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A08">
        <w:rPr>
          <w:rFonts w:ascii="Times New Roman" w:hAnsi="Times New Roman" w:cs="Times New Roman"/>
          <w:b/>
          <w:sz w:val="24"/>
          <w:szCs w:val="24"/>
        </w:rPr>
        <w:lastRenderedPageBreak/>
        <w:t>Šifra 082 Službe kulture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08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C40107">
        <w:rPr>
          <w:rFonts w:ascii="Times New Roman" w:hAnsi="Times New Roman" w:cs="Times New Roman"/>
          <w:sz w:val="24"/>
          <w:szCs w:val="24"/>
        </w:rPr>
        <w:t>8.315,62</w:t>
      </w:r>
      <w:r w:rsidRPr="00684A08">
        <w:rPr>
          <w:rFonts w:ascii="Times New Roman" w:hAnsi="Times New Roman" w:cs="Times New Roman"/>
          <w:sz w:val="24"/>
          <w:szCs w:val="24"/>
        </w:rPr>
        <w:t xml:space="preserve"> eura a odnose se na donacije udrugama iz kulture.</w:t>
      </w:r>
    </w:p>
    <w:p w:rsidR="00C40107" w:rsidRDefault="00C40107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3015" w:rsidRDefault="00AB301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107" w:rsidRPr="00C40107" w:rsidRDefault="00C40107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07">
        <w:rPr>
          <w:rFonts w:ascii="Times New Roman" w:hAnsi="Times New Roman" w:cs="Times New Roman"/>
          <w:b/>
          <w:sz w:val="24"/>
          <w:szCs w:val="24"/>
        </w:rPr>
        <w:t>Šifra 084 Religijske i druge službe zakednica</w:t>
      </w:r>
    </w:p>
    <w:p w:rsidR="00C40107" w:rsidRDefault="00C40107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su ostvareni u iznosu od 400,00 eura a donose se na pomići župnom uredu Slivnica.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78">
        <w:rPr>
          <w:rFonts w:ascii="Times New Roman" w:hAnsi="Times New Roman" w:cs="Times New Roman"/>
          <w:b/>
          <w:sz w:val="24"/>
          <w:szCs w:val="24"/>
        </w:rPr>
        <w:t>Šifra 086 Rashodi za rekreaciju, kulturu i religiju koji nisu drugdje svrstani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C40107">
        <w:rPr>
          <w:rFonts w:ascii="Times New Roman" w:hAnsi="Times New Roman" w:cs="Times New Roman"/>
          <w:sz w:val="24"/>
          <w:szCs w:val="24"/>
        </w:rPr>
        <w:t>275.129,71 eura i veći su nego u 2023. godini radi većih donacija sprotskim klubovima i troškova za sprotske objekte.</w:t>
      </w:r>
      <w:r w:rsidR="00C40107" w:rsidRPr="003B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C50" w:rsidRDefault="006D2C50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107" w:rsidRPr="00C40107" w:rsidRDefault="00C40107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07">
        <w:rPr>
          <w:rFonts w:ascii="Times New Roman" w:hAnsi="Times New Roman" w:cs="Times New Roman"/>
          <w:b/>
          <w:sz w:val="24"/>
          <w:szCs w:val="24"/>
        </w:rPr>
        <w:t>Šifra 0912 osnovno obrazovanje</w:t>
      </w:r>
    </w:p>
    <w:p w:rsidR="00C40107" w:rsidRDefault="00C40107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1120">
        <w:rPr>
          <w:rFonts w:ascii="Times New Roman" w:hAnsi="Times New Roman" w:cs="Times New Roman"/>
          <w:sz w:val="24"/>
          <w:szCs w:val="24"/>
        </w:rPr>
        <w:t xml:space="preserve">Navedeni rashodi iznose 56.822,50 eura i veći su nego u 2023. godini </w:t>
      </w:r>
      <w:r w:rsidR="00E91120" w:rsidRPr="00E91120">
        <w:rPr>
          <w:rFonts w:ascii="Times New Roman" w:hAnsi="Times New Roman" w:cs="Times New Roman"/>
          <w:sz w:val="24"/>
          <w:szCs w:val="24"/>
        </w:rPr>
        <w:t>radi danih pomoći OŠ Braća Ribar Posedarje za obnovu školskih kuhinja, pomoći danih za kupnju klima za školu</w:t>
      </w:r>
      <w:r w:rsidR="00E91120">
        <w:rPr>
          <w:rFonts w:ascii="Times New Roman" w:hAnsi="Times New Roman" w:cs="Times New Roman"/>
          <w:sz w:val="24"/>
          <w:szCs w:val="24"/>
        </w:rPr>
        <w:t xml:space="preserve"> te isplaćenih pomoći za kupnju radnog materijala za osnovnoškolce.</w:t>
      </w:r>
    </w:p>
    <w:p w:rsidR="00E91120" w:rsidRDefault="00E91120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1120" w:rsidRPr="00E91120" w:rsidRDefault="00E91120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20">
        <w:rPr>
          <w:rFonts w:ascii="Times New Roman" w:hAnsi="Times New Roman" w:cs="Times New Roman"/>
          <w:b/>
          <w:sz w:val="24"/>
          <w:szCs w:val="24"/>
        </w:rPr>
        <w:t>Šifra 0922 Više srednjiškolsko obrazovanje</w:t>
      </w:r>
    </w:p>
    <w:p w:rsidR="00E91120" w:rsidRDefault="00E91120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rashodi iznose 9.264,87 eura i veći su nego u 2023.godini radi povećanja troškova prijevoza srednjoškolaca.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098 Usluge obrazovanja koje nisu drugdje svrstane</w:t>
      </w:r>
    </w:p>
    <w:p w:rsidR="000F5D55" w:rsidRPr="00F3034C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sz w:val="24"/>
          <w:szCs w:val="24"/>
        </w:rPr>
        <w:t xml:space="preserve">Troškovi se odnose na troškove osnovnog i </w:t>
      </w:r>
      <w:r>
        <w:rPr>
          <w:rFonts w:ascii="Times New Roman" w:hAnsi="Times New Roman" w:cs="Times New Roman"/>
          <w:sz w:val="24"/>
          <w:szCs w:val="24"/>
        </w:rPr>
        <w:t>sred</w:t>
      </w:r>
      <w:r w:rsidRPr="00F3034C">
        <w:rPr>
          <w:rFonts w:ascii="Times New Roman" w:hAnsi="Times New Roman" w:cs="Times New Roman"/>
          <w:sz w:val="24"/>
          <w:szCs w:val="24"/>
        </w:rPr>
        <w:t xml:space="preserve">njoškolskog obrazovanja i iznose </w:t>
      </w:r>
      <w:r w:rsidR="00E91120">
        <w:rPr>
          <w:rFonts w:ascii="Times New Roman" w:hAnsi="Times New Roman" w:cs="Times New Roman"/>
          <w:sz w:val="24"/>
          <w:szCs w:val="24"/>
        </w:rPr>
        <w:t xml:space="preserve">22.709,80 </w:t>
      </w:r>
      <w:r w:rsidRPr="00F3034C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5D55" w:rsidRPr="00F3034C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10</w:t>
      </w:r>
      <w:r w:rsidR="00E91120">
        <w:rPr>
          <w:rFonts w:ascii="Times New Roman" w:hAnsi="Times New Roman" w:cs="Times New Roman"/>
          <w:b/>
          <w:sz w:val="24"/>
          <w:szCs w:val="24"/>
        </w:rPr>
        <w:t>2. Starost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034C"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E91120">
        <w:rPr>
          <w:rFonts w:ascii="Times New Roman" w:hAnsi="Times New Roman" w:cs="Times New Roman"/>
          <w:sz w:val="24"/>
          <w:szCs w:val="24"/>
        </w:rPr>
        <w:t>74.789,79 eura a odnose se na projekt Zaželi-Zlatne ruke. Prikazani troškovi odnose se na bruto plaće geront domaćica , bruto plaće voditelja projekta te materijalne troškove za provedbu projekta (higijenski materijal).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55" w:rsidRPr="00F3034C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4C">
        <w:rPr>
          <w:rFonts w:ascii="Times New Roman" w:hAnsi="Times New Roman" w:cs="Times New Roman"/>
          <w:b/>
          <w:sz w:val="24"/>
          <w:szCs w:val="24"/>
        </w:rPr>
        <w:t>Šifra 104</w:t>
      </w:r>
      <w:r>
        <w:rPr>
          <w:rFonts w:ascii="Times New Roman" w:hAnsi="Times New Roman" w:cs="Times New Roman"/>
          <w:b/>
          <w:sz w:val="24"/>
          <w:szCs w:val="24"/>
        </w:rPr>
        <w:t xml:space="preserve"> Obitelj i djeca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iznose </w:t>
      </w:r>
      <w:r w:rsidR="00E91120">
        <w:rPr>
          <w:rFonts w:ascii="Times New Roman" w:hAnsi="Times New Roman" w:cs="Times New Roman"/>
          <w:sz w:val="24"/>
          <w:szCs w:val="24"/>
        </w:rPr>
        <w:t xml:space="preserve">85.108,18 eura i manji su engo u 2023. godini radi manje isplaćenih naknada za novorođenu djecu.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Obveze: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Stanje obveza 1. siječnja 202</w:t>
      </w:r>
      <w:r w:rsidR="002231E0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>. godine, odgovara stanju obveza na kraju prosinca 202</w:t>
      </w:r>
      <w:r w:rsidR="002231E0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godine i iznosi </w:t>
      </w:r>
      <w:r w:rsidR="002231E0">
        <w:rPr>
          <w:rFonts w:ascii="Times New Roman" w:hAnsi="Times New Roman" w:cs="Times New Roman"/>
          <w:sz w:val="24"/>
          <w:szCs w:val="24"/>
        </w:rPr>
        <w:t>290.685,11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9746AE">
        <w:rPr>
          <w:rFonts w:ascii="Times New Roman" w:hAnsi="Times New Roman" w:cs="Times New Roman"/>
          <w:sz w:val="24"/>
          <w:szCs w:val="24"/>
        </w:rPr>
        <w:t>. To je početno stanje iskazano u Izvještajima o obvezama za sva razdoblja u 202</w:t>
      </w:r>
      <w:r w:rsidR="002231E0">
        <w:rPr>
          <w:rFonts w:ascii="Times New Roman" w:hAnsi="Times New Roman" w:cs="Times New Roman"/>
          <w:sz w:val="24"/>
          <w:szCs w:val="24"/>
        </w:rPr>
        <w:t>4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Default="000F5D55" w:rsidP="00DD2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 obveza u 202</w:t>
      </w:r>
      <w:r w:rsidR="002231E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godini iznosi </w:t>
      </w:r>
      <w:r w:rsidR="002231E0">
        <w:rPr>
          <w:rFonts w:ascii="Times New Roman" w:hAnsi="Times New Roman" w:cs="Times New Roman"/>
          <w:sz w:val="24"/>
          <w:szCs w:val="24"/>
        </w:rPr>
        <w:t>3.209.152,49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DD2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Podmirene obveze u 202</w:t>
      </w:r>
      <w:r w:rsidR="002231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2231E0">
        <w:rPr>
          <w:rFonts w:ascii="Times New Roman" w:hAnsi="Times New Roman" w:cs="Times New Roman"/>
          <w:sz w:val="24"/>
          <w:szCs w:val="24"/>
        </w:rPr>
        <w:t>3.245.183,61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F5D55" w:rsidRDefault="000F5D55" w:rsidP="00DD2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31.12</w:t>
      </w:r>
      <w:r w:rsidR="002231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231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2231E0">
        <w:rPr>
          <w:rFonts w:ascii="Times New Roman" w:hAnsi="Times New Roman" w:cs="Times New Roman"/>
          <w:sz w:val="24"/>
          <w:szCs w:val="24"/>
        </w:rPr>
        <w:t>254.653,99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0F5D55" w:rsidRDefault="000F5D55" w:rsidP="00DD2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dospijelih obveza iznosin </w:t>
      </w:r>
      <w:r w:rsidR="002231E0">
        <w:rPr>
          <w:rFonts w:ascii="Times New Roman" w:hAnsi="Times New Roman" w:cs="Times New Roman"/>
          <w:sz w:val="24"/>
          <w:szCs w:val="24"/>
        </w:rPr>
        <w:t>47.848,60</w:t>
      </w:r>
      <w:r>
        <w:rPr>
          <w:rFonts w:ascii="Times New Roman" w:hAnsi="Times New Roman" w:cs="Times New Roman"/>
          <w:sz w:val="24"/>
          <w:szCs w:val="24"/>
        </w:rPr>
        <w:t xml:space="preserve"> eura i to za rashode poslovanja</w:t>
      </w:r>
      <w:r w:rsidR="002231E0">
        <w:rPr>
          <w:rFonts w:ascii="Times New Roman" w:hAnsi="Times New Roman" w:cs="Times New Roman"/>
          <w:sz w:val="24"/>
          <w:szCs w:val="24"/>
        </w:rPr>
        <w:t>.</w:t>
      </w:r>
    </w:p>
    <w:p w:rsidR="000F5D55" w:rsidRDefault="000F5D55" w:rsidP="00DD2B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nedospijelih obveza iznosi </w:t>
      </w:r>
      <w:r w:rsidR="002231E0">
        <w:rPr>
          <w:rFonts w:ascii="Times New Roman" w:hAnsi="Times New Roman" w:cs="Times New Roman"/>
          <w:sz w:val="24"/>
          <w:szCs w:val="24"/>
        </w:rPr>
        <w:t xml:space="preserve">206.805,39 eura </w:t>
      </w:r>
      <w:r>
        <w:rPr>
          <w:rFonts w:ascii="Times New Roman" w:hAnsi="Times New Roman" w:cs="Times New Roman"/>
          <w:sz w:val="24"/>
          <w:szCs w:val="24"/>
        </w:rPr>
        <w:t xml:space="preserve"> i to za rashode poslovanja iznose </w:t>
      </w:r>
      <w:r w:rsidR="002231E0">
        <w:rPr>
          <w:rFonts w:ascii="Times New Roman" w:hAnsi="Times New Roman" w:cs="Times New Roman"/>
          <w:sz w:val="24"/>
          <w:szCs w:val="24"/>
        </w:rPr>
        <w:t>130.567,89</w:t>
      </w:r>
      <w:r>
        <w:rPr>
          <w:rFonts w:ascii="Times New Roman" w:hAnsi="Times New Roman" w:cs="Times New Roman"/>
          <w:sz w:val="24"/>
          <w:szCs w:val="24"/>
        </w:rPr>
        <w:t>9,43 eura</w:t>
      </w:r>
      <w:r w:rsidR="00DD2B7C">
        <w:rPr>
          <w:rFonts w:ascii="Times New Roman" w:hAnsi="Times New Roman" w:cs="Times New Roman"/>
          <w:sz w:val="24"/>
          <w:szCs w:val="24"/>
        </w:rPr>
        <w:t xml:space="preserve"> (računi  električne energije, telefona, poštarina, računi za komunalne usluge, računi za usluge održavanja računalnih programa, računi zakupa, računi za sufinanciranje prijevoza te drugi računi čije je dopijeće u mjesecu siječnju 2025.godine)</w:t>
      </w:r>
    </w:p>
    <w:p w:rsidR="00DD2B7C" w:rsidRDefault="00DD2B7C" w:rsidP="00DD2B7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Nedospijele obveze za nabavu nefinancijke imovine iznose 76.237,50 eura a odnose se račune za projektnu dokumentaciju čije je dospijeće u mjesecu siječnju 2025. godine, te račun Urban opreme čije je dopsijeće isto u mjesecu siječnju 202.godine.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P-VRIO: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obrascu su prikazane promjene u vrijednosti i obujmu imovine i to iznos smanjenja </w:t>
      </w:r>
      <w:r w:rsidR="00F546D3">
        <w:rPr>
          <w:rFonts w:ascii="Times New Roman" w:hAnsi="Times New Roman" w:cs="Times New Roman"/>
          <w:sz w:val="24"/>
          <w:szCs w:val="24"/>
        </w:rPr>
        <w:t>183.957,63 eura.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Šifra P029 iznosi </w:t>
      </w:r>
      <w:r w:rsidR="00F546D3">
        <w:rPr>
          <w:rFonts w:ascii="Times New Roman" w:hAnsi="Times New Roman" w:cs="Times New Roman"/>
          <w:sz w:val="24"/>
          <w:szCs w:val="24"/>
        </w:rPr>
        <w:t>35.456,40</w:t>
      </w:r>
      <w:r>
        <w:rPr>
          <w:rFonts w:ascii="Times New Roman" w:hAnsi="Times New Roman" w:cs="Times New Roman"/>
          <w:sz w:val="24"/>
          <w:szCs w:val="24"/>
        </w:rPr>
        <w:t xml:space="preserve"> eura a donosi se na odobrenja po riješenjima za  plaćanje komunalnog doprinosa.</w:t>
      </w:r>
    </w:p>
    <w:p w:rsidR="000F5D55" w:rsidRDefault="00F546D3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P030 iznosi 148.501,23 eura a odnosi se na odobrenja po ugovorima za kupnju zemljišta po kojima je kupcima koji nemaju rješeno stambeno pitanje priznato odobrenje od 50% na vrijednost prodane zemlje.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je prikazano na šifri P03</w:t>
      </w:r>
      <w:r w:rsidR="00F546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 iznosi </w:t>
      </w:r>
      <w:r w:rsidR="00F546D3">
        <w:rPr>
          <w:rFonts w:ascii="Times New Roman" w:hAnsi="Times New Roman" w:cs="Times New Roman"/>
          <w:sz w:val="24"/>
          <w:szCs w:val="24"/>
        </w:rPr>
        <w:t>157,60</w:t>
      </w:r>
      <w:r>
        <w:rPr>
          <w:rFonts w:ascii="Times New Roman" w:hAnsi="Times New Roman" w:cs="Times New Roman"/>
          <w:sz w:val="24"/>
          <w:szCs w:val="24"/>
        </w:rPr>
        <w:t xml:space="preserve"> eura a odnosi se na otpis obveza prema dobavljačima.</w:t>
      </w: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D55" w:rsidRPr="009746AE" w:rsidRDefault="000F5D55" w:rsidP="000F5D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D55" w:rsidRDefault="000F5D55" w:rsidP="000F5D55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 w:rsidR="004434CB">
        <w:rPr>
          <w:b/>
          <w:sz w:val="24"/>
          <w:szCs w:val="24"/>
        </w:rPr>
        <w:t>4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0F5D55" w:rsidRDefault="000F5D55" w:rsidP="000F5D55">
      <w:pPr>
        <w:rPr>
          <w:b/>
          <w:sz w:val="24"/>
          <w:szCs w:val="24"/>
        </w:rPr>
      </w:pPr>
    </w:p>
    <w:p w:rsidR="004434CB" w:rsidRPr="004434CB" w:rsidRDefault="004434CB" w:rsidP="004434CB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 obveza Općine Posedarje</w:t>
      </w:r>
    </w:p>
    <w:p w:rsidR="004434CB" w:rsidRDefault="004434CB" w:rsidP="004434CB">
      <w:pPr>
        <w:jc w:val="both"/>
        <w:rPr>
          <w:sz w:val="24"/>
          <w:szCs w:val="24"/>
        </w:rPr>
      </w:pPr>
      <w:r w:rsidRPr="004434CB">
        <w:rPr>
          <w:sz w:val="24"/>
          <w:szCs w:val="24"/>
        </w:rPr>
        <w:t>Poslovni broj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Tuženik</w:t>
      </w:r>
      <w:r w:rsidRPr="004434CB">
        <w:rPr>
          <w:sz w:val="24"/>
          <w:szCs w:val="24"/>
        </w:rPr>
        <w:tab/>
      </w:r>
      <w:r w:rsidRPr="004434CB">
        <w:rPr>
          <w:sz w:val="24"/>
          <w:szCs w:val="24"/>
        </w:rPr>
        <w:tab/>
        <w:t>Tužitelj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ab/>
      </w:r>
      <w:r w:rsidR="00E54220">
        <w:rPr>
          <w:sz w:val="24"/>
          <w:szCs w:val="24"/>
        </w:rPr>
        <w:tab/>
      </w:r>
      <w:r w:rsidRPr="004434CB">
        <w:rPr>
          <w:sz w:val="24"/>
          <w:szCs w:val="24"/>
        </w:rPr>
        <w:t>Vrijednost spora</w:t>
      </w:r>
    </w:p>
    <w:p w:rsidR="004434CB" w:rsidRDefault="004434CB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>Izvansudska nagodba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Colas Hrvatska Varaždin</w:t>
      </w:r>
      <w:r>
        <w:rPr>
          <w:sz w:val="24"/>
          <w:szCs w:val="24"/>
        </w:rPr>
        <w:tab/>
        <w:t>272.988,62</w:t>
      </w:r>
    </w:p>
    <w:p w:rsidR="00E54220" w:rsidRDefault="004434CB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>P-32/2022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</w:t>
      </w:r>
      <w:r w:rsidR="00E54220">
        <w:rPr>
          <w:sz w:val="24"/>
          <w:szCs w:val="24"/>
        </w:rPr>
        <w:t>darje</w:t>
      </w:r>
      <w:r w:rsidR="00E54220">
        <w:rPr>
          <w:sz w:val="24"/>
          <w:szCs w:val="24"/>
        </w:rPr>
        <w:tab/>
        <w:t>Davor Demo Posedarje</w:t>
      </w:r>
      <w:r w:rsidR="00E54220">
        <w:rPr>
          <w:sz w:val="24"/>
          <w:szCs w:val="24"/>
        </w:rPr>
        <w:tab/>
        <w:t>15.990,68</w:t>
      </w:r>
    </w:p>
    <w:p w:rsidR="00E54220" w:rsidRDefault="00E54220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>Pn-20/2022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Ivan Šimurina Posedarje</w:t>
      </w:r>
      <w:r>
        <w:rPr>
          <w:sz w:val="24"/>
          <w:szCs w:val="24"/>
        </w:rPr>
        <w:tab/>
        <w:t>13.139,56</w:t>
      </w:r>
    </w:p>
    <w:p w:rsidR="00E54220" w:rsidRDefault="00E54220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>Pn-89/2022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Jadranka Bušljeta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13.139,00</w:t>
      </w:r>
    </w:p>
    <w:p w:rsidR="00E54220" w:rsidRPr="004434CB" w:rsidRDefault="00E54220" w:rsidP="00E54220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</w:t>
      </w:r>
      <w:r>
        <w:rPr>
          <w:sz w:val="24"/>
          <w:szCs w:val="24"/>
        </w:rPr>
        <w:t xml:space="preserve"> potraživanje</w:t>
      </w:r>
      <w:r w:rsidRPr="004434CB">
        <w:rPr>
          <w:sz w:val="24"/>
          <w:szCs w:val="24"/>
        </w:rPr>
        <w:t xml:space="preserve"> Općine Posedarje</w:t>
      </w:r>
    </w:p>
    <w:p w:rsidR="00E54220" w:rsidRDefault="00E54220" w:rsidP="004434CB">
      <w:pPr>
        <w:jc w:val="both"/>
        <w:rPr>
          <w:sz w:val="24"/>
          <w:szCs w:val="24"/>
        </w:rPr>
      </w:pPr>
    </w:p>
    <w:p w:rsidR="00E54220" w:rsidRDefault="00E54220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>R1-12/2025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Irena Halsey Ukalović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29.500,00</w:t>
      </w:r>
      <w:r>
        <w:rPr>
          <w:sz w:val="24"/>
          <w:szCs w:val="24"/>
        </w:rPr>
        <w:tab/>
      </w:r>
    </w:p>
    <w:p w:rsidR="004434CB" w:rsidRPr="004434CB" w:rsidRDefault="004434CB" w:rsidP="004434C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34CB" w:rsidRPr="004434CB" w:rsidRDefault="004434CB" w:rsidP="000F5D55">
      <w:pPr>
        <w:rPr>
          <w:sz w:val="24"/>
          <w:szCs w:val="24"/>
        </w:rPr>
      </w:pP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:rsidR="000F5D55" w:rsidRDefault="000F5D55" w:rsidP="000F5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Novaković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Ivica Klanac</w:t>
      </w:r>
    </w:p>
    <w:p w:rsidR="0097675F" w:rsidRDefault="0097675F"/>
    <w:sectPr w:rsidR="00976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CA8"/>
    <w:multiLevelType w:val="hybridMultilevel"/>
    <w:tmpl w:val="D368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B1E"/>
    <w:multiLevelType w:val="hybridMultilevel"/>
    <w:tmpl w:val="DB62C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216"/>
    <w:multiLevelType w:val="hybridMultilevel"/>
    <w:tmpl w:val="96385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F3C6B"/>
    <w:multiLevelType w:val="hybridMultilevel"/>
    <w:tmpl w:val="266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8E"/>
    <w:rsid w:val="00044D08"/>
    <w:rsid w:val="000F5D55"/>
    <w:rsid w:val="00216E35"/>
    <w:rsid w:val="002231E0"/>
    <w:rsid w:val="002A6022"/>
    <w:rsid w:val="004434CB"/>
    <w:rsid w:val="00467D95"/>
    <w:rsid w:val="0048568C"/>
    <w:rsid w:val="004A239E"/>
    <w:rsid w:val="004C0791"/>
    <w:rsid w:val="005C73AC"/>
    <w:rsid w:val="005D03F7"/>
    <w:rsid w:val="005D62A4"/>
    <w:rsid w:val="005E7A43"/>
    <w:rsid w:val="00683689"/>
    <w:rsid w:val="006D2C50"/>
    <w:rsid w:val="007B4400"/>
    <w:rsid w:val="009401A6"/>
    <w:rsid w:val="00944039"/>
    <w:rsid w:val="0097675F"/>
    <w:rsid w:val="00A95683"/>
    <w:rsid w:val="00AB3015"/>
    <w:rsid w:val="00BA3492"/>
    <w:rsid w:val="00C268D1"/>
    <w:rsid w:val="00C40107"/>
    <w:rsid w:val="00C64C1C"/>
    <w:rsid w:val="00C764D9"/>
    <w:rsid w:val="00D265EB"/>
    <w:rsid w:val="00DA5CE5"/>
    <w:rsid w:val="00DD2B7C"/>
    <w:rsid w:val="00DE000A"/>
    <w:rsid w:val="00E413F5"/>
    <w:rsid w:val="00E54220"/>
    <w:rsid w:val="00E91120"/>
    <w:rsid w:val="00EC1C40"/>
    <w:rsid w:val="00F546D3"/>
    <w:rsid w:val="00FC288E"/>
    <w:rsid w:val="00FC5BF2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E6C"/>
  <w15:chartTrackingRefBased/>
  <w15:docId w15:val="{FE3DABF7-458F-434E-BC07-85B53E3F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5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D55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0F5D5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5D55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0F5D55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443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20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4</cp:revision>
  <cp:lastPrinted>2025-02-12T11:30:00Z</cp:lastPrinted>
  <dcterms:created xsi:type="dcterms:W3CDTF">2025-02-07T12:01:00Z</dcterms:created>
  <dcterms:modified xsi:type="dcterms:W3CDTF">2025-02-12T11:30:00Z</dcterms:modified>
</cp:coreProperties>
</file>