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FDF6A" w14:textId="0395DF64" w:rsidR="007E09C1" w:rsidRPr="00F427C5" w:rsidRDefault="007E09C1" w:rsidP="007E09C1">
      <w:pPr>
        <w:pageBreakBefore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noProof/>
        </w:rPr>
      </w:pPr>
      <w:r w:rsidRPr="00F427C5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69F65B8" wp14:editId="5C0E4073">
            <wp:extent cx="495300" cy="552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3E53">
        <w:rPr>
          <w:rFonts w:ascii="Times New Roman" w:hAnsi="Times New Roman" w:cs="Times New Roman"/>
          <w:noProof/>
        </w:rPr>
        <w:tab/>
      </w:r>
      <w:r w:rsidR="005A3E53">
        <w:rPr>
          <w:rFonts w:ascii="Times New Roman" w:hAnsi="Times New Roman" w:cs="Times New Roman"/>
          <w:noProof/>
        </w:rPr>
        <w:tab/>
      </w:r>
      <w:r w:rsidR="005A3E53">
        <w:rPr>
          <w:rFonts w:ascii="Times New Roman" w:hAnsi="Times New Roman" w:cs="Times New Roman"/>
          <w:noProof/>
        </w:rPr>
        <w:tab/>
      </w:r>
      <w:r w:rsidR="005A3E53">
        <w:rPr>
          <w:rFonts w:ascii="Times New Roman" w:hAnsi="Times New Roman" w:cs="Times New Roman"/>
          <w:noProof/>
        </w:rPr>
        <w:tab/>
      </w:r>
      <w:r w:rsidR="005A3E53">
        <w:rPr>
          <w:rFonts w:ascii="Times New Roman" w:hAnsi="Times New Roman" w:cs="Times New Roman"/>
          <w:noProof/>
        </w:rPr>
        <w:tab/>
      </w:r>
      <w:r w:rsidR="005A3E53">
        <w:rPr>
          <w:rFonts w:ascii="Times New Roman" w:hAnsi="Times New Roman" w:cs="Times New Roman"/>
          <w:noProof/>
        </w:rPr>
        <w:tab/>
      </w:r>
      <w:r w:rsidR="005A3E53">
        <w:rPr>
          <w:rFonts w:ascii="Times New Roman" w:hAnsi="Times New Roman" w:cs="Times New Roman"/>
          <w:noProof/>
        </w:rPr>
        <w:tab/>
      </w:r>
      <w:r w:rsidR="005A3E53">
        <w:rPr>
          <w:rFonts w:ascii="Times New Roman" w:hAnsi="Times New Roman" w:cs="Times New Roman"/>
          <w:noProof/>
        </w:rPr>
        <w:tab/>
        <w:t xml:space="preserve"> </w:t>
      </w:r>
    </w:p>
    <w:p w14:paraId="099AB576" w14:textId="77777777" w:rsidR="007E09C1" w:rsidRPr="00F427C5" w:rsidRDefault="007E09C1" w:rsidP="007E0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noProof/>
        </w:rPr>
      </w:pPr>
      <w:r w:rsidRPr="00F427C5">
        <w:rPr>
          <w:rFonts w:ascii="Times New Roman" w:hAnsi="Times New Roman" w:cs="Times New Roman"/>
          <w:b/>
          <w:bCs/>
          <w:noProof/>
        </w:rPr>
        <w:t xml:space="preserve">REPUBLIKA HRVATSKA </w:t>
      </w:r>
    </w:p>
    <w:p w14:paraId="0F301C14" w14:textId="77777777" w:rsidR="007E09C1" w:rsidRPr="00F427C5" w:rsidRDefault="007E09C1" w:rsidP="007E0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noProof/>
        </w:rPr>
      </w:pPr>
      <w:r w:rsidRPr="00F427C5">
        <w:rPr>
          <w:rFonts w:ascii="Times New Roman" w:hAnsi="Times New Roman" w:cs="Times New Roman"/>
          <w:b/>
          <w:bCs/>
          <w:noProof/>
        </w:rPr>
        <w:t xml:space="preserve">ZADARSKA ŽUPANIJA  </w:t>
      </w:r>
    </w:p>
    <w:p w14:paraId="43B1E52F" w14:textId="5E1FA00C" w:rsidR="007E09C1" w:rsidRPr="00F427C5" w:rsidRDefault="007E09C1" w:rsidP="007E0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noProof/>
        </w:rPr>
      </w:pPr>
      <w:r w:rsidRPr="00F427C5">
        <w:rPr>
          <w:rFonts w:ascii="Times New Roman" w:hAnsi="Times New Roman" w:cs="Times New Roman"/>
          <w:b/>
          <w:bCs/>
          <w:noProof/>
        </w:rPr>
        <w:t xml:space="preserve">OPĆINA </w:t>
      </w:r>
      <w:r w:rsidR="00303DD1">
        <w:rPr>
          <w:rFonts w:ascii="Times New Roman" w:hAnsi="Times New Roman" w:cs="Times New Roman"/>
          <w:b/>
          <w:bCs/>
          <w:noProof/>
        </w:rPr>
        <w:t>POSEDARJE</w:t>
      </w:r>
    </w:p>
    <w:p w14:paraId="1AB22593" w14:textId="0435AF0E" w:rsidR="00876506" w:rsidRDefault="009D195B" w:rsidP="00876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KLASA:</w:t>
      </w:r>
      <w:r w:rsidR="00A40DE8" w:rsidRPr="00A40DE8">
        <w:rPr>
          <w:rFonts w:ascii="Times New Roman" w:hAnsi="Times New Roman" w:cs="Times New Roman"/>
          <w:noProof/>
        </w:rPr>
        <w:t xml:space="preserve"> </w:t>
      </w:r>
      <w:r w:rsidR="00552F40">
        <w:rPr>
          <w:rFonts w:ascii="Times New Roman" w:hAnsi="Times New Roman" w:cs="Times New Roman"/>
          <w:noProof/>
        </w:rPr>
        <w:t>610-01/24-01/08</w:t>
      </w:r>
    </w:p>
    <w:p w14:paraId="3F5848A7" w14:textId="2515329D" w:rsidR="009D195B" w:rsidRDefault="009D195B" w:rsidP="00876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URBROJ:</w:t>
      </w:r>
      <w:r w:rsidR="00A40DE8" w:rsidRPr="00A40DE8">
        <w:rPr>
          <w:rFonts w:ascii="Times New Roman" w:hAnsi="Times New Roman" w:cs="Times New Roman"/>
          <w:noProof/>
        </w:rPr>
        <w:t xml:space="preserve"> </w:t>
      </w:r>
      <w:r w:rsidR="000E1407">
        <w:rPr>
          <w:rFonts w:ascii="Times New Roman" w:hAnsi="Times New Roman" w:cs="Times New Roman"/>
          <w:noProof/>
        </w:rPr>
        <w:t>2198-07-02</w:t>
      </w:r>
      <w:r w:rsidR="00B3217E">
        <w:rPr>
          <w:rFonts w:ascii="Times New Roman" w:hAnsi="Times New Roman" w:cs="Times New Roman"/>
          <w:noProof/>
        </w:rPr>
        <w:t>/1</w:t>
      </w:r>
      <w:r w:rsidR="000E1407">
        <w:rPr>
          <w:rFonts w:ascii="Times New Roman" w:hAnsi="Times New Roman" w:cs="Times New Roman"/>
          <w:noProof/>
        </w:rPr>
        <w:t>-2</w:t>
      </w:r>
      <w:r w:rsidR="00552F40">
        <w:rPr>
          <w:rFonts w:ascii="Times New Roman" w:hAnsi="Times New Roman" w:cs="Times New Roman"/>
          <w:noProof/>
        </w:rPr>
        <w:t>5</w:t>
      </w:r>
      <w:r w:rsidR="000E1407">
        <w:rPr>
          <w:rFonts w:ascii="Times New Roman" w:hAnsi="Times New Roman" w:cs="Times New Roman"/>
          <w:noProof/>
        </w:rPr>
        <w:t>-</w:t>
      </w:r>
      <w:r w:rsidR="00B3217E">
        <w:rPr>
          <w:rFonts w:ascii="Times New Roman" w:hAnsi="Times New Roman" w:cs="Times New Roman"/>
          <w:noProof/>
        </w:rPr>
        <w:t>02</w:t>
      </w:r>
    </w:p>
    <w:p w14:paraId="38E7F6C0" w14:textId="70600B1C" w:rsidR="00DF1191" w:rsidRDefault="00303DD1" w:rsidP="00876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Posedarje</w:t>
      </w:r>
      <w:r w:rsidR="00E4762D">
        <w:rPr>
          <w:rFonts w:ascii="Times New Roman" w:hAnsi="Times New Roman" w:cs="Times New Roman"/>
          <w:noProof/>
        </w:rPr>
        <w:t xml:space="preserve">, </w:t>
      </w:r>
      <w:r w:rsidR="00B035EF">
        <w:rPr>
          <w:rFonts w:ascii="Times New Roman" w:hAnsi="Times New Roman" w:cs="Times New Roman"/>
          <w:noProof/>
        </w:rPr>
        <w:t>0</w:t>
      </w:r>
      <w:r w:rsidR="00F96A5F">
        <w:rPr>
          <w:rFonts w:ascii="Times New Roman" w:hAnsi="Times New Roman" w:cs="Times New Roman"/>
          <w:noProof/>
        </w:rPr>
        <w:t>9</w:t>
      </w:r>
      <w:r w:rsidR="0063033B">
        <w:rPr>
          <w:rFonts w:ascii="Times New Roman" w:hAnsi="Times New Roman" w:cs="Times New Roman"/>
          <w:noProof/>
        </w:rPr>
        <w:t xml:space="preserve">. </w:t>
      </w:r>
      <w:r w:rsidR="00552F40">
        <w:rPr>
          <w:rFonts w:ascii="Times New Roman" w:hAnsi="Times New Roman" w:cs="Times New Roman"/>
          <w:noProof/>
        </w:rPr>
        <w:t>siječnja</w:t>
      </w:r>
      <w:r w:rsidR="0063033B">
        <w:rPr>
          <w:rFonts w:ascii="Times New Roman" w:hAnsi="Times New Roman" w:cs="Times New Roman"/>
          <w:noProof/>
        </w:rPr>
        <w:t xml:space="preserve"> </w:t>
      </w:r>
      <w:r w:rsidR="00660F40">
        <w:rPr>
          <w:rFonts w:ascii="Times New Roman" w:hAnsi="Times New Roman" w:cs="Times New Roman"/>
          <w:noProof/>
        </w:rPr>
        <w:t xml:space="preserve"> </w:t>
      </w:r>
      <w:r w:rsidR="009D195B">
        <w:rPr>
          <w:rFonts w:ascii="Times New Roman" w:hAnsi="Times New Roman" w:cs="Times New Roman"/>
          <w:noProof/>
        </w:rPr>
        <w:t xml:space="preserve"> 202</w:t>
      </w:r>
      <w:r w:rsidR="00552F40">
        <w:rPr>
          <w:rFonts w:ascii="Times New Roman" w:hAnsi="Times New Roman" w:cs="Times New Roman"/>
          <w:noProof/>
        </w:rPr>
        <w:t>5</w:t>
      </w:r>
      <w:r w:rsidR="009D195B">
        <w:rPr>
          <w:rFonts w:ascii="Times New Roman" w:hAnsi="Times New Roman" w:cs="Times New Roman"/>
          <w:noProof/>
        </w:rPr>
        <w:t>.godine</w:t>
      </w:r>
    </w:p>
    <w:p w14:paraId="1E192CDC" w14:textId="6D23B97D" w:rsidR="009D195B" w:rsidRPr="00025859" w:rsidRDefault="00303DD1" w:rsidP="00303DD1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Po</w:t>
      </w:r>
      <w:r w:rsidR="00E4762D" w:rsidRPr="00025859">
        <w:rPr>
          <w:rFonts w:ascii="Times New Roman" w:hAnsi="Times New Roman" w:cs="Times New Roman"/>
        </w:rPr>
        <w:t xml:space="preserve"> prethodno provedenom </w:t>
      </w:r>
      <w:r w:rsidR="009D195B" w:rsidRPr="00025859">
        <w:rPr>
          <w:rFonts w:ascii="Times New Roman" w:hAnsi="Times New Roman" w:cs="Times New Roman"/>
          <w:noProof/>
        </w:rPr>
        <w:t xml:space="preserve"> Javno</w:t>
      </w:r>
      <w:r w:rsidR="008F5C2B" w:rsidRPr="00025859">
        <w:rPr>
          <w:rFonts w:ascii="Times New Roman" w:hAnsi="Times New Roman" w:cs="Times New Roman"/>
          <w:noProof/>
        </w:rPr>
        <w:t>m</w:t>
      </w:r>
      <w:r>
        <w:rPr>
          <w:rFonts w:ascii="Times New Roman" w:hAnsi="Times New Roman" w:cs="Times New Roman"/>
          <w:noProof/>
        </w:rPr>
        <w:t xml:space="preserve"> natječaju</w:t>
      </w:r>
      <w:r w:rsidR="009D195B" w:rsidRPr="00025859">
        <w:rPr>
          <w:rFonts w:ascii="Times New Roman" w:hAnsi="Times New Roman" w:cs="Times New Roman"/>
          <w:noProof/>
        </w:rPr>
        <w:t xml:space="preserve"> </w:t>
      </w:r>
      <w:r w:rsidRPr="00303DD1">
        <w:rPr>
          <w:rFonts w:ascii="Times New Roman" w:hAnsi="Times New Roman" w:cs="Times New Roman"/>
          <w:noProof/>
        </w:rPr>
        <w:t>za predlaganje programa/proj</w:t>
      </w:r>
      <w:r>
        <w:rPr>
          <w:rFonts w:ascii="Times New Roman" w:hAnsi="Times New Roman" w:cs="Times New Roman"/>
          <w:noProof/>
        </w:rPr>
        <w:t xml:space="preserve">ekata/manifestacija/ inicijativa </w:t>
      </w:r>
      <w:r w:rsidRPr="00303DD1">
        <w:rPr>
          <w:rFonts w:ascii="Times New Roman" w:hAnsi="Times New Roman" w:cs="Times New Roman"/>
          <w:noProof/>
        </w:rPr>
        <w:t xml:space="preserve"> u okviru javnih potreba Općine Posedarje za 202</w:t>
      </w:r>
      <w:r w:rsidR="00552F40">
        <w:rPr>
          <w:rFonts w:ascii="Times New Roman" w:hAnsi="Times New Roman" w:cs="Times New Roman"/>
          <w:noProof/>
        </w:rPr>
        <w:t>5</w:t>
      </w:r>
      <w:r w:rsidRPr="00303DD1">
        <w:rPr>
          <w:rFonts w:ascii="Times New Roman" w:hAnsi="Times New Roman" w:cs="Times New Roman"/>
          <w:noProof/>
        </w:rPr>
        <w:t>. godinu</w:t>
      </w:r>
      <w:r w:rsidR="00E4762D" w:rsidRPr="00303DD1">
        <w:rPr>
          <w:rFonts w:ascii="Times New Roman" w:hAnsi="Times New Roman" w:cs="Times New Roman"/>
          <w:noProof/>
        </w:rPr>
        <w:t>,</w:t>
      </w:r>
      <w:r w:rsidR="000E1407" w:rsidRPr="000E1407">
        <w:t xml:space="preserve"> </w:t>
      </w:r>
      <w:r w:rsidR="000E1407" w:rsidRPr="000E1407">
        <w:rPr>
          <w:rFonts w:ascii="Times New Roman" w:hAnsi="Times New Roman" w:cs="Times New Roman"/>
          <w:noProof/>
        </w:rPr>
        <w:t>te</w:t>
      </w:r>
      <w:r w:rsidR="000E1407">
        <w:rPr>
          <w:rFonts w:ascii="Times New Roman" w:hAnsi="Times New Roman" w:cs="Times New Roman"/>
          <w:noProof/>
        </w:rPr>
        <w:t>meljem članka 3</w:t>
      </w:r>
      <w:r w:rsidR="000E1407" w:rsidRPr="000E1407">
        <w:rPr>
          <w:rFonts w:ascii="Times New Roman" w:hAnsi="Times New Roman" w:cs="Times New Roman"/>
          <w:noProof/>
        </w:rPr>
        <w:t>0. Pravilnika o financiranju javnih potreba Općine Posedarje („Službeni glasnik Općine Posedarje“ broj 4/18)</w:t>
      </w:r>
      <w:r w:rsidR="00E4762D" w:rsidRPr="00025859">
        <w:rPr>
          <w:rFonts w:ascii="Times New Roman" w:hAnsi="Times New Roman" w:cs="Times New Roman"/>
          <w:noProof/>
        </w:rPr>
        <w:t xml:space="preserve"> </w:t>
      </w:r>
      <w:r w:rsidR="00C11D11" w:rsidRPr="00025859">
        <w:rPr>
          <w:rFonts w:ascii="Times New Roman" w:hAnsi="Times New Roman" w:cs="Times New Roman"/>
          <w:noProof/>
        </w:rPr>
        <w:t xml:space="preserve">Općinski načelnik </w:t>
      </w:r>
      <w:r w:rsidR="00660F40" w:rsidRPr="00025859">
        <w:rPr>
          <w:rFonts w:ascii="Times New Roman" w:hAnsi="Times New Roman" w:cs="Times New Roman"/>
          <w:noProof/>
        </w:rPr>
        <w:t xml:space="preserve">Općine </w:t>
      </w:r>
      <w:r>
        <w:rPr>
          <w:rFonts w:ascii="Times New Roman" w:hAnsi="Times New Roman" w:cs="Times New Roman"/>
          <w:noProof/>
        </w:rPr>
        <w:t>Posedarje</w:t>
      </w:r>
      <w:r w:rsidR="00660F40" w:rsidRPr="00025859">
        <w:rPr>
          <w:rFonts w:ascii="Times New Roman" w:hAnsi="Times New Roman" w:cs="Times New Roman"/>
          <w:noProof/>
        </w:rPr>
        <w:t xml:space="preserve">, donio je sljedeću </w:t>
      </w:r>
    </w:p>
    <w:p w14:paraId="361B5C88" w14:textId="77777777" w:rsidR="00411C04" w:rsidRDefault="00411C04" w:rsidP="00660F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15E74C" w14:textId="6A864BD5" w:rsidR="00C11D11" w:rsidRPr="00C11D11" w:rsidRDefault="00C11D11" w:rsidP="00660F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Hlk124410755"/>
      <w:r w:rsidRPr="00C11D11">
        <w:rPr>
          <w:rFonts w:ascii="Times New Roman" w:hAnsi="Times New Roman" w:cs="Times New Roman"/>
          <w:b/>
          <w:noProof/>
          <w:sz w:val="24"/>
          <w:szCs w:val="24"/>
        </w:rPr>
        <w:t>ODLUKU</w:t>
      </w:r>
    </w:p>
    <w:p w14:paraId="24571019" w14:textId="41879A5F" w:rsidR="00C11D11" w:rsidRDefault="00C11D11" w:rsidP="00C11D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  <w:r w:rsidRPr="00C11D11">
        <w:rPr>
          <w:rFonts w:ascii="Times New Roman" w:hAnsi="Times New Roman" w:cs="Times New Roman"/>
          <w:b/>
          <w:noProof/>
          <w:sz w:val="24"/>
          <w:szCs w:val="24"/>
        </w:rPr>
        <w:t xml:space="preserve">o dodjeli financijskih sredstava prijavljenima na </w:t>
      </w:r>
      <w:r w:rsidR="00303DD1">
        <w:rPr>
          <w:rFonts w:ascii="Times New Roman" w:hAnsi="Times New Roman" w:cs="Times New Roman"/>
          <w:noProof/>
        </w:rPr>
        <w:t>Javni natječaj</w:t>
      </w:r>
      <w:r w:rsidR="00303DD1" w:rsidRPr="00025859">
        <w:rPr>
          <w:rFonts w:ascii="Times New Roman" w:hAnsi="Times New Roman" w:cs="Times New Roman"/>
          <w:noProof/>
        </w:rPr>
        <w:t xml:space="preserve"> </w:t>
      </w:r>
      <w:r w:rsidR="00303DD1" w:rsidRPr="00303DD1">
        <w:rPr>
          <w:rFonts w:ascii="Times New Roman" w:hAnsi="Times New Roman" w:cs="Times New Roman"/>
          <w:noProof/>
        </w:rPr>
        <w:t>za predlaganje programa/proj</w:t>
      </w:r>
      <w:r w:rsidR="00303DD1">
        <w:rPr>
          <w:rFonts w:ascii="Times New Roman" w:hAnsi="Times New Roman" w:cs="Times New Roman"/>
          <w:noProof/>
        </w:rPr>
        <w:t xml:space="preserve">ekata/manifestacija/ inicijativa </w:t>
      </w:r>
      <w:r w:rsidR="00303DD1" w:rsidRPr="00303DD1">
        <w:rPr>
          <w:rFonts w:ascii="Times New Roman" w:hAnsi="Times New Roman" w:cs="Times New Roman"/>
          <w:noProof/>
        </w:rPr>
        <w:t xml:space="preserve"> u okviru javnih potreba Općine Posedarje za 202</w:t>
      </w:r>
      <w:r w:rsidR="00552F40">
        <w:rPr>
          <w:rFonts w:ascii="Times New Roman" w:hAnsi="Times New Roman" w:cs="Times New Roman"/>
          <w:noProof/>
        </w:rPr>
        <w:t>5</w:t>
      </w:r>
      <w:r w:rsidR="00303DD1" w:rsidRPr="00303DD1">
        <w:rPr>
          <w:rFonts w:ascii="Times New Roman" w:hAnsi="Times New Roman" w:cs="Times New Roman"/>
          <w:noProof/>
        </w:rPr>
        <w:t>. godinu</w:t>
      </w:r>
    </w:p>
    <w:bookmarkEnd w:id="0"/>
    <w:p w14:paraId="3B115F7B" w14:textId="77777777" w:rsidR="00411C04" w:rsidRDefault="00411C04" w:rsidP="00C11D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E620BF3" w14:textId="77777777" w:rsidR="00C11D11" w:rsidRDefault="00C11D11" w:rsidP="00E476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2712EAA" w14:textId="77777777" w:rsidR="00C11D11" w:rsidRPr="009777DA" w:rsidRDefault="00411C04" w:rsidP="00E476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777DA">
        <w:rPr>
          <w:rFonts w:ascii="Times New Roman" w:hAnsi="Times New Roman" w:cs="Times New Roman"/>
          <w:b/>
          <w:bCs/>
          <w:noProof/>
          <w:sz w:val="24"/>
          <w:szCs w:val="24"/>
        </w:rPr>
        <w:t>I.</w:t>
      </w:r>
    </w:p>
    <w:p w14:paraId="4BB46F8C" w14:textId="6E1A64FA" w:rsidR="00411C04" w:rsidRDefault="00C11D11" w:rsidP="00E4762D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Ovom odlukom utvrđuju se </w:t>
      </w:r>
      <w:r w:rsidR="008F5C2B">
        <w:rPr>
          <w:rFonts w:ascii="Times New Roman" w:hAnsi="Times New Roman" w:cs="Times New Roman"/>
          <w:noProof/>
        </w:rPr>
        <w:t xml:space="preserve"> </w:t>
      </w:r>
      <w:r w:rsidR="00303DD1">
        <w:rPr>
          <w:rFonts w:ascii="Times New Roman" w:hAnsi="Times New Roman" w:cs="Times New Roman"/>
          <w:noProof/>
        </w:rPr>
        <w:t>korisnici</w:t>
      </w:r>
      <w:r w:rsidR="008F5C2B">
        <w:rPr>
          <w:rFonts w:ascii="Times New Roman" w:hAnsi="Times New Roman" w:cs="Times New Roman"/>
          <w:noProof/>
        </w:rPr>
        <w:t xml:space="preserve"> </w:t>
      </w:r>
      <w:r w:rsidR="00E26CFB">
        <w:rPr>
          <w:rFonts w:ascii="Times New Roman" w:hAnsi="Times New Roman" w:cs="Times New Roman"/>
          <w:noProof/>
        </w:rPr>
        <w:t xml:space="preserve">čiji programi ili projekti se </w:t>
      </w:r>
      <w:r w:rsidR="008F5C2B">
        <w:rPr>
          <w:rFonts w:ascii="Times New Roman" w:hAnsi="Times New Roman" w:cs="Times New Roman"/>
          <w:noProof/>
        </w:rPr>
        <w:t xml:space="preserve"> planiraju financirati </w:t>
      </w:r>
      <w:r>
        <w:rPr>
          <w:rFonts w:ascii="Times New Roman" w:hAnsi="Times New Roman" w:cs="Times New Roman"/>
          <w:noProof/>
        </w:rPr>
        <w:t xml:space="preserve"> </w:t>
      </w:r>
      <w:r w:rsidR="00411C04">
        <w:rPr>
          <w:rFonts w:ascii="Times New Roman" w:hAnsi="Times New Roman" w:cs="Times New Roman"/>
          <w:noProof/>
        </w:rPr>
        <w:t xml:space="preserve">iz </w:t>
      </w:r>
      <w:r w:rsidR="0063033B">
        <w:rPr>
          <w:rFonts w:ascii="Times New Roman" w:hAnsi="Times New Roman" w:cs="Times New Roman"/>
          <w:noProof/>
        </w:rPr>
        <w:t>P</w:t>
      </w:r>
      <w:r w:rsidR="00411C04">
        <w:rPr>
          <w:rFonts w:ascii="Times New Roman" w:hAnsi="Times New Roman" w:cs="Times New Roman"/>
          <w:noProof/>
        </w:rPr>
        <w:t xml:space="preserve">roračuna Općine </w:t>
      </w:r>
      <w:r w:rsidR="00303DD1">
        <w:rPr>
          <w:rFonts w:ascii="Times New Roman" w:hAnsi="Times New Roman" w:cs="Times New Roman"/>
          <w:noProof/>
        </w:rPr>
        <w:t>Posedarje</w:t>
      </w:r>
      <w:r w:rsidR="00411C04">
        <w:rPr>
          <w:rFonts w:ascii="Times New Roman" w:hAnsi="Times New Roman" w:cs="Times New Roman"/>
          <w:noProof/>
        </w:rPr>
        <w:t xml:space="preserve"> </w:t>
      </w:r>
      <w:r w:rsidR="008F5C2B">
        <w:rPr>
          <w:rFonts w:ascii="Times New Roman" w:hAnsi="Times New Roman" w:cs="Times New Roman"/>
          <w:noProof/>
        </w:rPr>
        <w:t>za 202</w:t>
      </w:r>
      <w:r w:rsidR="00552F40">
        <w:rPr>
          <w:rFonts w:ascii="Times New Roman" w:hAnsi="Times New Roman" w:cs="Times New Roman"/>
          <w:noProof/>
        </w:rPr>
        <w:t>5</w:t>
      </w:r>
      <w:r w:rsidR="008F5C2B">
        <w:rPr>
          <w:rFonts w:ascii="Times New Roman" w:hAnsi="Times New Roman" w:cs="Times New Roman"/>
          <w:noProof/>
        </w:rPr>
        <w:t>. godinu</w:t>
      </w:r>
      <w:r w:rsidR="0063033B">
        <w:rPr>
          <w:rFonts w:ascii="Times New Roman" w:hAnsi="Times New Roman" w:cs="Times New Roman"/>
          <w:noProof/>
        </w:rPr>
        <w:t xml:space="preserve"> kako slijedi: </w:t>
      </w:r>
      <w:r w:rsidR="008F5C2B">
        <w:rPr>
          <w:rFonts w:ascii="Times New Roman" w:hAnsi="Times New Roman" w:cs="Times New Roman"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666"/>
        <w:gridCol w:w="2340"/>
      </w:tblGrid>
      <w:tr w:rsidR="00A424CC" w:rsidRPr="00411C04" w14:paraId="6A3C651B" w14:textId="1B97A3E8" w:rsidTr="00A424CC">
        <w:trPr>
          <w:trHeight w:val="420"/>
        </w:trPr>
        <w:tc>
          <w:tcPr>
            <w:tcW w:w="3054" w:type="dxa"/>
            <w:hideMark/>
          </w:tcPr>
          <w:p w14:paraId="6428267F" w14:textId="5BECFE3F" w:rsidR="00A424CC" w:rsidRPr="00411C04" w:rsidRDefault="00A424CC" w:rsidP="00416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11C04">
              <w:rPr>
                <w:rFonts w:ascii="Times New Roman" w:hAnsi="Times New Roman" w:cs="Times New Roman"/>
                <w:b/>
                <w:bCs/>
                <w:noProof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411C04">
              <w:rPr>
                <w:rFonts w:ascii="Times New Roman" w:hAnsi="Times New Roman" w:cs="Times New Roman"/>
                <w:b/>
                <w:bCs/>
                <w:noProof/>
              </w:rPr>
              <w:t>UDRUGE</w:t>
            </w:r>
          </w:p>
        </w:tc>
        <w:tc>
          <w:tcPr>
            <w:tcW w:w="3666" w:type="dxa"/>
            <w:noWrap/>
            <w:hideMark/>
          </w:tcPr>
          <w:p w14:paraId="11BDD6EE" w14:textId="6045FD25" w:rsidR="00A424CC" w:rsidRPr="00411C04" w:rsidRDefault="00A424CC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11C04">
              <w:rPr>
                <w:rFonts w:ascii="Times New Roman" w:hAnsi="Times New Roman" w:cs="Times New Roman"/>
                <w:b/>
                <w:bCs/>
                <w:noProof/>
              </w:rPr>
              <w:t>Odobreni izn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os proračunskih sredstava u 202</w:t>
            </w:r>
            <w:r w:rsidR="00552F40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411C04">
              <w:rPr>
                <w:rFonts w:ascii="Times New Roman" w:hAnsi="Times New Roman" w:cs="Times New Roman"/>
                <w:b/>
                <w:bCs/>
                <w:noProof/>
              </w:rPr>
              <w:t>.g.</w:t>
            </w:r>
          </w:p>
        </w:tc>
        <w:tc>
          <w:tcPr>
            <w:tcW w:w="2340" w:type="dxa"/>
          </w:tcPr>
          <w:p w14:paraId="2377CB28" w14:textId="343A3479" w:rsidR="00A424CC" w:rsidRPr="00411C04" w:rsidRDefault="00A424CC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PODRUČJE</w:t>
            </w:r>
          </w:p>
        </w:tc>
      </w:tr>
      <w:tr w:rsidR="00A424CC" w:rsidRPr="00411C04" w14:paraId="783B81D9" w14:textId="45B98922" w:rsidTr="00A424CC">
        <w:trPr>
          <w:trHeight w:val="420"/>
        </w:trPr>
        <w:tc>
          <w:tcPr>
            <w:tcW w:w="3054" w:type="dxa"/>
          </w:tcPr>
          <w:p w14:paraId="7610388D" w14:textId="77777777" w:rsidR="00A424CC" w:rsidRPr="00411C04" w:rsidRDefault="00A424CC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666" w:type="dxa"/>
            <w:noWrap/>
          </w:tcPr>
          <w:p w14:paraId="675663B2" w14:textId="77777777" w:rsidR="00A424CC" w:rsidRPr="00411C04" w:rsidRDefault="00A424CC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340" w:type="dxa"/>
          </w:tcPr>
          <w:p w14:paraId="79CEC1C1" w14:textId="77777777" w:rsidR="00A424CC" w:rsidRPr="00411C04" w:rsidRDefault="00A424CC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A424CC" w:rsidRPr="00411C04" w14:paraId="0A9ED3C3" w14:textId="4836731F" w:rsidTr="00552F40">
        <w:trPr>
          <w:trHeight w:val="420"/>
        </w:trPr>
        <w:tc>
          <w:tcPr>
            <w:tcW w:w="3054" w:type="dxa"/>
            <w:shd w:val="clear" w:color="auto" w:fill="FFE599" w:themeFill="accent4" w:themeFillTint="66"/>
          </w:tcPr>
          <w:p w14:paraId="567525FF" w14:textId="437E6031" w:rsidR="00A424CC" w:rsidRPr="00552F40" w:rsidRDefault="00A424CC" w:rsidP="00552F40">
            <w:pPr>
              <w:rPr>
                <w:b/>
              </w:rPr>
            </w:pPr>
            <w:r w:rsidRPr="00552F40">
              <w:rPr>
                <w:b/>
              </w:rPr>
              <w:t xml:space="preserve">IPS Sokolovi Ravni kotari, </w:t>
            </w:r>
          </w:p>
        </w:tc>
        <w:tc>
          <w:tcPr>
            <w:tcW w:w="3666" w:type="dxa"/>
            <w:shd w:val="clear" w:color="auto" w:fill="FFE599" w:themeFill="accent4" w:themeFillTint="66"/>
            <w:noWrap/>
          </w:tcPr>
          <w:p w14:paraId="673F8359" w14:textId="05403FE7" w:rsidR="00A424CC" w:rsidRPr="00552F40" w:rsidRDefault="00552F40" w:rsidP="00552F40">
            <w:pPr>
              <w:rPr>
                <w:b/>
              </w:rPr>
            </w:pPr>
            <w:r w:rsidRPr="00552F40">
              <w:rPr>
                <w:b/>
              </w:rPr>
              <w:t>4</w:t>
            </w:r>
            <w:r w:rsidR="00A424CC" w:rsidRPr="00552F40">
              <w:rPr>
                <w:b/>
              </w:rPr>
              <w:t>.</w:t>
            </w:r>
            <w:r w:rsidRPr="00552F40">
              <w:rPr>
                <w:b/>
              </w:rPr>
              <w:t>0</w:t>
            </w:r>
            <w:r w:rsidR="00A424CC" w:rsidRPr="00552F40">
              <w:rPr>
                <w:b/>
              </w:rPr>
              <w:t xml:space="preserve">00,00 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14:paraId="6BEB3CF5" w14:textId="5D63462C" w:rsidR="00A424CC" w:rsidRPr="00552F40" w:rsidRDefault="00A424CC" w:rsidP="00552F40">
            <w:pPr>
              <w:rPr>
                <w:b/>
              </w:rPr>
            </w:pPr>
            <w:r w:rsidRPr="00552F40">
              <w:rPr>
                <w:b/>
              </w:rPr>
              <w:t>kultura</w:t>
            </w:r>
          </w:p>
        </w:tc>
      </w:tr>
      <w:tr w:rsidR="00AC6863" w:rsidRPr="00411C04" w14:paraId="244278AC" w14:textId="77777777" w:rsidTr="00552F40">
        <w:trPr>
          <w:trHeight w:val="420"/>
        </w:trPr>
        <w:tc>
          <w:tcPr>
            <w:tcW w:w="3054" w:type="dxa"/>
            <w:shd w:val="clear" w:color="auto" w:fill="FFE599" w:themeFill="accent4" w:themeFillTint="66"/>
          </w:tcPr>
          <w:p w14:paraId="3580A7F1" w14:textId="1B2D1124" w:rsidR="00AC6863" w:rsidRPr="00552F40" w:rsidRDefault="00AC6863" w:rsidP="00552F40">
            <w:pPr>
              <w:rPr>
                <w:b/>
              </w:rPr>
            </w:pPr>
            <w:r w:rsidRPr="00552F40">
              <w:rPr>
                <w:b/>
              </w:rPr>
              <w:t xml:space="preserve">Udruga </w:t>
            </w:r>
            <w:r w:rsidR="00552F40" w:rsidRPr="00552F40">
              <w:rPr>
                <w:b/>
              </w:rPr>
              <w:t>za poticanje razvoja mjesta Vinjerac</w:t>
            </w:r>
          </w:p>
        </w:tc>
        <w:tc>
          <w:tcPr>
            <w:tcW w:w="3666" w:type="dxa"/>
            <w:shd w:val="clear" w:color="auto" w:fill="FFE599" w:themeFill="accent4" w:themeFillTint="66"/>
            <w:noWrap/>
          </w:tcPr>
          <w:p w14:paraId="23B7A025" w14:textId="6FDDF294" w:rsidR="00AC6863" w:rsidRPr="00552F40" w:rsidRDefault="00AC6863" w:rsidP="00552F40">
            <w:pPr>
              <w:rPr>
                <w:b/>
              </w:rPr>
            </w:pPr>
            <w:r w:rsidRPr="00552F40">
              <w:rPr>
                <w:b/>
              </w:rPr>
              <w:t>4.000,00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14:paraId="56876BE1" w14:textId="154CDAE9" w:rsidR="00AC6863" w:rsidRPr="00552F40" w:rsidRDefault="00552F40" w:rsidP="00552F40">
            <w:pPr>
              <w:rPr>
                <w:b/>
              </w:rPr>
            </w:pPr>
            <w:r w:rsidRPr="00552F40">
              <w:rPr>
                <w:b/>
              </w:rPr>
              <w:t>kultura</w:t>
            </w:r>
          </w:p>
        </w:tc>
      </w:tr>
      <w:tr w:rsidR="00A424CC" w:rsidRPr="00411C04" w14:paraId="5BA29118" w14:textId="3A8E74E5" w:rsidTr="00552F40">
        <w:trPr>
          <w:trHeight w:val="420"/>
        </w:trPr>
        <w:tc>
          <w:tcPr>
            <w:tcW w:w="3054" w:type="dxa"/>
            <w:shd w:val="clear" w:color="auto" w:fill="FFE599" w:themeFill="accent4" w:themeFillTint="66"/>
          </w:tcPr>
          <w:p w14:paraId="7A3A2185" w14:textId="60E726C2" w:rsidR="00A424CC" w:rsidRPr="00552F40" w:rsidRDefault="00A424CC" w:rsidP="00552F40">
            <w:pPr>
              <w:rPr>
                <w:b/>
              </w:rPr>
            </w:pPr>
            <w:r w:rsidRPr="00552F40">
              <w:rPr>
                <w:b/>
              </w:rPr>
              <w:t>Udruga za pot</w:t>
            </w:r>
            <w:r w:rsidR="00AC6863" w:rsidRPr="00552F40">
              <w:rPr>
                <w:b/>
              </w:rPr>
              <w:t>icanje razvoja mjesta Vinjerac</w:t>
            </w:r>
          </w:p>
        </w:tc>
        <w:tc>
          <w:tcPr>
            <w:tcW w:w="3666" w:type="dxa"/>
            <w:shd w:val="clear" w:color="auto" w:fill="FFE599" w:themeFill="accent4" w:themeFillTint="66"/>
            <w:noWrap/>
          </w:tcPr>
          <w:p w14:paraId="2324F39D" w14:textId="64AAA85F" w:rsidR="00A424CC" w:rsidRPr="00552F40" w:rsidRDefault="00552F40" w:rsidP="00552F40">
            <w:pPr>
              <w:rPr>
                <w:b/>
              </w:rPr>
            </w:pPr>
            <w:r w:rsidRPr="00552F40">
              <w:rPr>
                <w:b/>
              </w:rPr>
              <w:t>4</w:t>
            </w:r>
            <w:r w:rsidR="00AC6863" w:rsidRPr="00552F40">
              <w:rPr>
                <w:b/>
              </w:rPr>
              <w:t>.</w:t>
            </w:r>
            <w:r w:rsidRPr="00552F40">
              <w:rPr>
                <w:b/>
              </w:rPr>
              <w:t>0</w:t>
            </w:r>
            <w:r w:rsidR="00AC6863" w:rsidRPr="00552F40">
              <w:rPr>
                <w:b/>
              </w:rPr>
              <w:t xml:space="preserve">00,00 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14:paraId="062752A1" w14:textId="62FB20A2" w:rsidR="00A424CC" w:rsidRPr="00552F40" w:rsidRDefault="00552F40" w:rsidP="00552F40">
            <w:pPr>
              <w:rPr>
                <w:b/>
              </w:rPr>
            </w:pPr>
            <w:r w:rsidRPr="00552F40">
              <w:rPr>
                <w:b/>
              </w:rPr>
              <w:t>kultura</w:t>
            </w:r>
          </w:p>
        </w:tc>
      </w:tr>
      <w:tr w:rsidR="00AC6863" w:rsidRPr="00411C04" w14:paraId="2A942E46" w14:textId="77777777" w:rsidTr="00552F40">
        <w:trPr>
          <w:trHeight w:val="420"/>
        </w:trPr>
        <w:tc>
          <w:tcPr>
            <w:tcW w:w="3054" w:type="dxa"/>
            <w:shd w:val="clear" w:color="auto" w:fill="FFE599" w:themeFill="accent4" w:themeFillTint="66"/>
          </w:tcPr>
          <w:p w14:paraId="44434733" w14:textId="7C98661D" w:rsidR="00AC6863" w:rsidRPr="00552F40" w:rsidRDefault="00AC6863" w:rsidP="00552F40">
            <w:pPr>
              <w:rPr>
                <w:b/>
              </w:rPr>
            </w:pPr>
            <w:r w:rsidRPr="00552F40">
              <w:rPr>
                <w:b/>
              </w:rPr>
              <w:t>Udruga za poticanje razvoja mjesta Vinjerac</w:t>
            </w:r>
          </w:p>
        </w:tc>
        <w:tc>
          <w:tcPr>
            <w:tcW w:w="3666" w:type="dxa"/>
            <w:shd w:val="clear" w:color="auto" w:fill="FFE599" w:themeFill="accent4" w:themeFillTint="66"/>
            <w:noWrap/>
          </w:tcPr>
          <w:p w14:paraId="640F4638" w14:textId="16273CC4" w:rsidR="00AC6863" w:rsidRPr="00552F40" w:rsidRDefault="00552F40" w:rsidP="00552F40">
            <w:pPr>
              <w:rPr>
                <w:b/>
              </w:rPr>
            </w:pPr>
            <w:r w:rsidRPr="00552F40">
              <w:rPr>
                <w:b/>
              </w:rPr>
              <w:t>6</w:t>
            </w:r>
            <w:r w:rsidR="00AC6863" w:rsidRPr="00552F40">
              <w:rPr>
                <w:b/>
              </w:rPr>
              <w:t>.</w:t>
            </w:r>
            <w:r w:rsidRPr="00552F40">
              <w:rPr>
                <w:b/>
              </w:rPr>
              <w:t>0</w:t>
            </w:r>
            <w:r w:rsidR="00AC6863" w:rsidRPr="00552F40">
              <w:rPr>
                <w:b/>
              </w:rPr>
              <w:t>00,00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14:paraId="3905B241" w14:textId="6C275371" w:rsidR="00AC6863" w:rsidRPr="00552F40" w:rsidRDefault="00552F40" w:rsidP="00552F40">
            <w:pPr>
              <w:rPr>
                <w:b/>
              </w:rPr>
            </w:pPr>
            <w:r w:rsidRPr="00552F40">
              <w:rPr>
                <w:b/>
              </w:rPr>
              <w:t>kultura</w:t>
            </w:r>
          </w:p>
        </w:tc>
      </w:tr>
      <w:tr w:rsidR="00AC6863" w:rsidRPr="00411C04" w14:paraId="57C4C5D9" w14:textId="77777777" w:rsidTr="00552F40">
        <w:trPr>
          <w:trHeight w:val="420"/>
        </w:trPr>
        <w:tc>
          <w:tcPr>
            <w:tcW w:w="3054" w:type="dxa"/>
            <w:shd w:val="clear" w:color="auto" w:fill="FFE599" w:themeFill="accent4" w:themeFillTint="66"/>
          </w:tcPr>
          <w:p w14:paraId="40C353E5" w14:textId="1990A181" w:rsidR="00AC6863" w:rsidRPr="00552F40" w:rsidRDefault="00AC6863" w:rsidP="00552F40">
            <w:pPr>
              <w:rPr>
                <w:b/>
              </w:rPr>
            </w:pPr>
            <w:r w:rsidRPr="00552F40">
              <w:rPr>
                <w:b/>
              </w:rPr>
              <w:t>Udruga za poticanje razvoja mjesta Vinjerac</w:t>
            </w:r>
          </w:p>
        </w:tc>
        <w:tc>
          <w:tcPr>
            <w:tcW w:w="3666" w:type="dxa"/>
            <w:shd w:val="clear" w:color="auto" w:fill="FFE599" w:themeFill="accent4" w:themeFillTint="66"/>
            <w:noWrap/>
          </w:tcPr>
          <w:p w14:paraId="20765C86" w14:textId="0092DF09" w:rsidR="00AC6863" w:rsidRPr="00552F40" w:rsidRDefault="00552F40" w:rsidP="00552F40">
            <w:pPr>
              <w:rPr>
                <w:b/>
              </w:rPr>
            </w:pPr>
            <w:r w:rsidRPr="00552F40">
              <w:rPr>
                <w:b/>
              </w:rPr>
              <w:t>2</w:t>
            </w:r>
            <w:r w:rsidR="00AC6863" w:rsidRPr="00552F40">
              <w:rPr>
                <w:b/>
              </w:rPr>
              <w:t>.</w:t>
            </w:r>
            <w:r w:rsidRPr="00552F40">
              <w:rPr>
                <w:b/>
              </w:rPr>
              <w:t>0</w:t>
            </w:r>
            <w:r w:rsidR="00AC6863" w:rsidRPr="00552F40">
              <w:rPr>
                <w:b/>
              </w:rPr>
              <w:t>00,00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14:paraId="77C83C78" w14:textId="763F8F2E" w:rsidR="00AC6863" w:rsidRPr="00552F40" w:rsidRDefault="00552F40" w:rsidP="00552F40">
            <w:pPr>
              <w:rPr>
                <w:b/>
              </w:rPr>
            </w:pPr>
            <w:r w:rsidRPr="00552F40">
              <w:rPr>
                <w:b/>
              </w:rPr>
              <w:t>kultura</w:t>
            </w:r>
          </w:p>
        </w:tc>
      </w:tr>
      <w:tr w:rsidR="00AC6863" w:rsidRPr="00411C04" w14:paraId="2B25F481" w14:textId="77777777" w:rsidTr="00077402">
        <w:trPr>
          <w:trHeight w:val="420"/>
        </w:trPr>
        <w:tc>
          <w:tcPr>
            <w:tcW w:w="3054" w:type="dxa"/>
            <w:shd w:val="clear" w:color="auto" w:fill="D9E2F3" w:themeFill="accent1" w:themeFillTint="33"/>
          </w:tcPr>
          <w:p w14:paraId="677079AF" w14:textId="6C398CB4" w:rsidR="00AC6863" w:rsidRPr="00AC6863" w:rsidRDefault="00552F40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Udruga Dalmatinko</w:t>
            </w:r>
          </w:p>
        </w:tc>
        <w:tc>
          <w:tcPr>
            <w:tcW w:w="3666" w:type="dxa"/>
            <w:shd w:val="clear" w:color="auto" w:fill="D9E2F3" w:themeFill="accent1" w:themeFillTint="33"/>
            <w:noWrap/>
          </w:tcPr>
          <w:p w14:paraId="60F91E11" w14:textId="1331A7AA" w:rsidR="00AC6863" w:rsidRDefault="00552F40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AC6863">
              <w:rPr>
                <w:rFonts w:ascii="Times New Roman" w:hAnsi="Times New Roman" w:cs="Times New Roman"/>
                <w:b/>
                <w:bCs/>
                <w:noProof/>
              </w:rPr>
              <w:t>.000,00</w:t>
            </w:r>
          </w:p>
        </w:tc>
        <w:tc>
          <w:tcPr>
            <w:tcW w:w="2340" w:type="dxa"/>
            <w:shd w:val="clear" w:color="auto" w:fill="D9E2F3" w:themeFill="accent1" w:themeFillTint="33"/>
          </w:tcPr>
          <w:p w14:paraId="500356CE" w14:textId="63FF115B" w:rsidR="00AC6863" w:rsidRDefault="00AC6863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manifestacije</w:t>
            </w:r>
          </w:p>
        </w:tc>
      </w:tr>
      <w:tr w:rsidR="00A424CC" w:rsidRPr="00411C04" w14:paraId="270A6BD3" w14:textId="2D99B15F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26824556" w14:textId="5E69A6DC" w:rsidR="00A424CC" w:rsidRPr="00411C04" w:rsidRDefault="00A424CC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Boćarski klub Podgradina, 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6EAABC65" w14:textId="3C922D21" w:rsidR="00A424CC" w:rsidRPr="00411C04" w:rsidRDefault="00AC6863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5.000,00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7C365CE7" w14:textId="573B2299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A424CC" w:rsidRPr="00411C04" w14:paraId="24FBC296" w14:textId="4C97107D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3817498B" w14:textId="03EE0CB1" w:rsidR="00A424CC" w:rsidRPr="00411C04" w:rsidRDefault="00A424CC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Boćarski klub Slivnica, 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706D1CEE" w14:textId="3DD3AB4C" w:rsidR="00A424CC" w:rsidRPr="00411C04" w:rsidRDefault="00552F40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A424CC">
              <w:rPr>
                <w:rFonts w:ascii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000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>,00</w:t>
            </w:r>
            <w:r w:rsidR="00A424CC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5A606DF1" w14:textId="0201AB1A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A424CC" w:rsidRPr="00411C04" w14:paraId="594554D4" w14:textId="40668AEC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2F4DB079" w14:textId="7B303855" w:rsidR="00A424CC" w:rsidRPr="00411C04" w:rsidRDefault="00A424CC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Boćarski klub Sveti Nikola, 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5277CECC" w14:textId="09421F9C" w:rsidR="00A424CC" w:rsidRPr="00411C04" w:rsidRDefault="00552F40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AC6863">
              <w:rPr>
                <w:rFonts w:ascii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000</w:t>
            </w:r>
            <w:r w:rsidR="00AC6863">
              <w:rPr>
                <w:rFonts w:ascii="Times New Roman" w:hAnsi="Times New Roman" w:cs="Times New Roman"/>
                <w:b/>
                <w:bCs/>
                <w:noProof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="00AC6863">
              <w:rPr>
                <w:rFonts w:ascii="Times New Roman" w:hAnsi="Times New Roman" w:cs="Times New Roman"/>
                <w:b/>
                <w:bCs/>
                <w:noProof/>
              </w:rPr>
              <w:t xml:space="preserve">0 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38EC4771" w14:textId="68A0EA94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A424CC" w:rsidRPr="00411C04" w14:paraId="29BC5365" w14:textId="5B7D8D5F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2E755072" w14:textId="5B8E3FBE" w:rsidR="00A424CC" w:rsidRPr="00411C04" w:rsidRDefault="00A424CC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NK Hrvatski vitez Posedarje, 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659BEC12" w14:textId="52EFA86B" w:rsidR="00A424CC" w:rsidRPr="00411C04" w:rsidRDefault="00077402" w:rsidP="00F96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11</w:t>
            </w:r>
            <w:r w:rsidR="00F96A5F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.000,00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7AA54EC0" w14:textId="06E322FA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A424CC" w:rsidRPr="00411C04" w14:paraId="2B789E0E" w14:textId="32CB0267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7E3B3FD5" w14:textId="77777777" w:rsidR="00A424CC" w:rsidRDefault="00A424CC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NŠK Podgradina, </w:t>
            </w:r>
          </w:p>
          <w:p w14:paraId="582B7B4D" w14:textId="671995A1" w:rsidR="00A424CC" w:rsidRPr="00411C04" w:rsidRDefault="00A424CC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17261822" w14:textId="25AC9F8A" w:rsidR="00A424CC" w:rsidRPr="00411C04" w:rsidRDefault="00AC6863" w:rsidP="00F96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96A5F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.000,00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3127FD90" w14:textId="54E44F5F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A424CC" w:rsidRPr="00411C04" w14:paraId="06A5299A" w14:textId="6637567A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0CD5DE1F" w14:textId="49D9E3A4" w:rsidR="00A424CC" w:rsidRDefault="00A424CC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MNK </w:t>
            </w:r>
            <w:r w:rsidR="00552F40">
              <w:rPr>
                <w:rFonts w:ascii="Times New Roman" w:hAnsi="Times New Roman" w:cs="Times New Roman"/>
                <w:b/>
                <w:bCs/>
                <w:noProof/>
              </w:rPr>
              <w:t>Posedarje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, </w:t>
            </w:r>
          </w:p>
          <w:p w14:paraId="709715B5" w14:textId="0B5215C3" w:rsidR="00A424CC" w:rsidRPr="00411C04" w:rsidRDefault="00A424CC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6F28ADEC" w14:textId="509AC3DC" w:rsidR="00A424CC" w:rsidRPr="00411C04" w:rsidRDefault="00077402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2.</w:t>
            </w:r>
            <w:r w:rsidR="00552F40"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00,00 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73FD6600" w14:textId="5FADB0F8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A424CC" w:rsidRPr="00411C04" w14:paraId="4F4E6337" w14:textId="5B3F0C7A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35597416" w14:textId="49924446" w:rsidR="00A424CC" w:rsidRPr="00411C04" w:rsidRDefault="00A424CC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Biciklistički klub Posedarje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43C74928" w14:textId="7E49F580" w:rsidR="00A424CC" w:rsidRPr="00411C04" w:rsidRDefault="00F96A5F" w:rsidP="00F96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45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 xml:space="preserve">.000,00 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1CCE958A" w14:textId="1AE04904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077402" w:rsidRPr="00411C04" w14:paraId="326D0011" w14:textId="77777777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6A534755" w14:textId="6533FCA3" w:rsidR="00077402" w:rsidRDefault="00077402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MNK Kadulja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17E468C4" w14:textId="1D94F429" w:rsidR="00077402" w:rsidRDefault="00552F40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>00,00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3093D55C" w14:textId="714134DA" w:rsidR="00077402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A424CC" w:rsidRPr="00411C04" w14:paraId="7A348CA7" w14:textId="3C4B9438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0634B646" w14:textId="05323A87" w:rsidR="00A424CC" w:rsidRPr="00411C04" w:rsidRDefault="00A424CC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w:t xml:space="preserve">Kinološka udruga Posedarje, 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2F41610A" w14:textId="7CE599B6" w:rsidR="00A424CC" w:rsidRPr="00411C04" w:rsidRDefault="00552F40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 xml:space="preserve">00,00 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3A81EDF4" w14:textId="1AA1A387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A424CC" w:rsidRPr="00411C04" w14:paraId="14C2327C" w14:textId="259279AA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50738945" w14:textId="6800E3DB" w:rsidR="00A424CC" w:rsidRPr="00411C04" w:rsidRDefault="00AC6863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L.D. Kamenjarka Posedarje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7B660B08" w14:textId="0A3429EC" w:rsidR="00A424CC" w:rsidRPr="00411C04" w:rsidRDefault="00F96A5F" w:rsidP="00F96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bookmarkStart w:id="1" w:name="_GoBack"/>
            <w:bookmarkEnd w:id="1"/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>.</w:t>
            </w:r>
            <w:r w:rsidR="00D001D9"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="00AC6863">
              <w:rPr>
                <w:rFonts w:ascii="Times New Roman" w:hAnsi="Times New Roman" w:cs="Times New Roman"/>
                <w:b/>
                <w:bCs/>
                <w:noProof/>
              </w:rPr>
              <w:t>00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 xml:space="preserve">,00 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7F52484B" w14:textId="4D18089F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A424CC" w:rsidRPr="00411C04" w14:paraId="52F93070" w14:textId="12AC67C6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61ABB6FF" w14:textId="72FC0B15" w:rsidR="00A424CC" w:rsidRPr="00411C04" w:rsidRDefault="00A424CC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Košarkaški savez Zadarske županije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139840C3" w14:textId="6D3302B7" w:rsidR="00A424CC" w:rsidRPr="00411C04" w:rsidRDefault="00552F40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000</w:t>
            </w:r>
            <w:r w:rsidR="00077402">
              <w:rPr>
                <w:rFonts w:ascii="Times New Roman" w:hAnsi="Times New Roman" w:cs="Times New Roman"/>
                <w:b/>
                <w:bCs/>
                <w:noProof/>
              </w:rPr>
              <w:t xml:space="preserve">,00 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7B15DA96" w14:textId="7897F335" w:rsidR="00A424CC" w:rsidRDefault="00077402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77402"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  <w:tr w:rsidR="00552F40" w:rsidRPr="00411C04" w14:paraId="55862C00" w14:textId="77777777" w:rsidTr="00077402">
        <w:trPr>
          <w:trHeight w:val="420"/>
        </w:trPr>
        <w:tc>
          <w:tcPr>
            <w:tcW w:w="3054" w:type="dxa"/>
            <w:shd w:val="clear" w:color="auto" w:fill="E2EFD9" w:themeFill="accent6" w:themeFillTint="33"/>
          </w:tcPr>
          <w:p w14:paraId="3AE901B6" w14:textId="00E8FBEC" w:rsidR="00552F40" w:rsidRDefault="00552F40" w:rsidP="00AC68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Zadarske mažoretkinje</w:t>
            </w:r>
          </w:p>
        </w:tc>
        <w:tc>
          <w:tcPr>
            <w:tcW w:w="3666" w:type="dxa"/>
            <w:shd w:val="clear" w:color="auto" w:fill="E2EFD9" w:themeFill="accent6" w:themeFillTint="33"/>
            <w:noWrap/>
          </w:tcPr>
          <w:p w14:paraId="17F377A4" w14:textId="1E341397" w:rsidR="00552F40" w:rsidRDefault="00552F40" w:rsidP="00552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1.000,00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72417DDB" w14:textId="34E23366" w:rsidR="00552F40" w:rsidRPr="00077402" w:rsidRDefault="00552F40" w:rsidP="00411C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sport</w:t>
            </w:r>
          </w:p>
        </w:tc>
      </w:tr>
    </w:tbl>
    <w:p w14:paraId="47E3EB73" w14:textId="2DE29021" w:rsidR="00025859" w:rsidRDefault="00025859" w:rsidP="00B136D5">
      <w:pPr>
        <w:jc w:val="both"/>
        <w:rPr>
          <w:rFonts w:ascii="Times New Roman" w:hAnsi="Times New Roman" w:cs="Arial"/>
        </w:rPr>
      </w:pPr>
    </w:p>
    <w:p w14:paraId="1017F7C9" w14:textId="2D278AE3" w:rsidR="00B136D5" w:rsidRDefault="00B136D5" w:rsidP="00634524">
      <w:pPr>
        <w:spacing w:after="0"/>
        <w:ind w:firstLine="360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I</w:t>
      </w:r>
      <w:r w:rsidR="00076E3A">
        <w:rPr>
          <w:rFonts w:ascii="Times New Roman" w:hAnsi="Times New Roman" w:cs="Arial"/>
        </w:rPr>
        <w:t>I</w:t>
      </w:r>
      <w:r>
        <w:rPr>
          <w:rFonts w:ascii="Times New Roman" w:hAnsi="Times New Roman" w:cs="Arial"/>
        </w:rPr>
        <w:t>.</w:t>
      </w:r>
    </w:p>
    <w:p w14:paraId="1218D1B7" w14:textId="044633DA" w:rsidR="00EC30EF" w:rsidRPr="0063033B" w:rsidRDefault="008F5C2B" w:rsidP="00634524">
      <w:pPr>
        <w:spacing w:after="0"/>
        <w:jc w:val="both"/>
        <w:rPr>
          <w:rFonts w:ascii="Times New Roman" w:hAnsi="Times New Roman" w:cs="Arial"/>
          <w:b/>
          <w:bCs/>
        </w:rPr>
      </w:pPr>
      <w:r w:rsidRPr="00EA7929">
        <w:rPr>
          <w:rFonts w:ascii="Times New Roman" w:hAnsi="Times New Roman" w:cs="Arial"/>
        </w:rPr>
        <w:t xml:space="preserve">Općinski načelnik  </w:t>
      </w:r>
      <w:r w:rsidR="00E4762D">
        <w:rPr>
          <w:rFonts w:ascii="Times New Roman" w:hAnsi="Times New Roman" w:cs="Arial"/>
        </w:rPr>
        <w:t xml:space="preserve">Općine </w:t>
      </w:r>
      <w:r w:rsidR="00303DD1">
        <w:rPr>
          <w:rFonts w:ascii="Times New Roman" w:hAnsi="Times New Roman" w:cs="Arial"/>
        </w:rPr>
        <w:t>Posedarje</w:t>
      </w:r>
      <w:r w:rsidR="00E4762D">
        <w:rPr>
          <w:rFonts w:ascii="Times New Roman" w:hAnsi="Times New Roman" w:cs="Arial"/>
        </w:rPr>
        <w:t xml:space="preserve"> </w:t>
      </w:r>
      <w:r w:rsidR="00303DD1">
        <w:rPr>
          <w:rFonts w:ascii="Times New Roman" w:hAnsi="Times New Roman" w:cs="Arial"/>
          <w:b/>
          <w:bCs/>
        </w:rPr>
        <w:t>poziva</w:t>
      </w:r>
      <w:r w:rsidR="0063033B">
        <w:rPr>
          <w:rFonts w:ascii="Times New Roman" w:hAnsi="Times New Roman" w:cs="Arial"/>
          <w:b/>
          <w:bCs/>
        </w:rPr>
        <w:t xml:space="preserve"> </w:t>
      </w:r>
      <w:r w:rsidR="00303DD1">
        <w:rPr>
          <w:rFonts w:ascii="Times New Roman" w:hAnsi="Times New Roman" w:cs="Arial"/>
          <w:b/>
          <w:bCs/>
        </w:rPr>
        <w:t>korisnike</w:t>
      </w:r>
      <w:r w:rsidR="0063033B">
        <w:rPr>
          <w:rFonts w:ascii="Times New Roman" w:hAnsi="Times New Roman" w:cs="Arial"/>
          <w:b/>
          <w:bCs/>
        </w:rPr>
        <w:t xml:space="preserve"> iz točke I. ove Odluke na zaključenje </w:t>
      </w:r>
      <w:r w:rsidR="00E26CFB" w:rsidRPr="0063033B">
        <w:rPr>
          <w:rFonts w:ascii="Minion Pro" w:hAnsi="Minion Pro"/>
          <w:b/>
          <w:bCs/>
          <w:color w:val="000000"/>
          <w:shd w:val="clear" w:color="auto" w:fill="FFFFFF"/>
        </w:rPr>
        <w:t xml:space="preserve"> ugovor o financiranju  programa ili projekta</w:t>
      </w:r>
      <w:r w:rsidR="0063033B">
        <w:rPr>
          <w:rFonts w:ascii="Minion Pro" w:hAnsi="Minion Pro"/>
          <w:b/>
          <w:bCs/>
          <w:color w:val="000000"/>
          <w:shd w:val="clear" w:color="auto" w:fill="FFFFFF"/>
        </w:rPr>
        <w:t xml:space="preserve">. </w:t>
      </w:r>
      <w:r w:rsidR="00EC30EF" w:rsidRPr="0063033B">
        <w:rPr>
          <w:rFonts w:ascii="Times New Roman" w:hAnsi="Times New Roman" w:cs="Arial"/>
          <w:b/>
          <w:bCs/>
        </w:rPr>
        <w:tab/>
        <w:t xml:space="preserve"> </w:t>
      </w:r>
    </w:p>
    <w:p w14:paraId="3097AAB6" w14:textId="689415CB" w:rsidR="00634524" w:rsidRDefault="00634524" w:rsidP="00634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1106">
        <w:rPr>
          <w:rFonts w:ascii="Times New Roman" w:eastAsia="Times New Roman" w:hAnsi="Times New Roman" w:cs="Times New Roman"/>
          <w:sz w:val="24"/>
          <w:szCs w:val="24"/>
          <w:lang w:eastAsia="hr-HR"/>
        </w:rPr>
        <w:t>Odobrena sredstva moraju se koristiti namjenski, uz poštovanje ugovorenih rokova izvršenja programa, projekta ili aktivnosti te završnog izvješća.</w:t>
      </w:r>
    </w:p>
    <w:p w14:paraId="5209499C" w14:textId="48C3311E" w:rsidR="00303DD1" w:rsidRDefault="00634524" w:rsidP="00303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8E1106">
        <w:rPr>
          <w:rFonts w:ascii="Times New Roman" w:eastAsia="Times New Roman" w:hAnsi="Times New Roman" w:cs="Times New Roman"/>
          <w:sz w:val="24"/>
          <w:szCs w:val="24"/>
          <w:lang w:eastAsia="hr-HR"/>
        </w:rPr>
        <w:t>avršno programsko i financijsko izvješće izrađuj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8E1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303DD1">
        <w:rPr>
          <w:rFonts w:ascii="Times New Roman" w:eastAsia="Times New Roman" w:hAnsi="Times New Roman" w:cs="Times New Roman"/>
          <w:sz w:val="24"/>
          <w:szCs w:val="24"/>
          <w:lang w:eastAsia="hr-HR"/>
        </w:rPr>
        <w:t>i podnosi unutar som-system sustava za koje će Općina organizirati obuku za odobrene</w:t>
      </w:r>
      <w:r w:rsidR="00077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nove</w:t>
      </w:r>
      <w:r w:rsidR="00303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korisnike</w:t>
      </w:r>
      <w:r w:rsidR="0007740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03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B738ACA" w14:textId="31AC33F7" w:rsidR="00634524" w:rsidRDefault="00634524" w:rsidP="00634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303DD1">
        <w:rPr>
          <w:rFonts w:ascii="Times New Roman" w:eastAsia="Times New Roman" w:hAnsi="Times New Roman" w:cs="Times New Roman"/>
          <w:sz w:val="24"/>
          <w:szCs w:val="24"/>
          <w:lang w:eastAsia="hr-HR"/>
        </w:rPr>
        <w:t>Posedarje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E1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zadržava pravo izmjene uvjeta i kriterija utvrđenih ugovorom u slučaju nastupanja izvanrednih okolnosti o čemu će uz obrazloženje pravodobno obavijestiti korisnike sredstava.</w:t>
      </w:r>
    </w:p>
    <w:p w14:paraId="4AA06197" w14:textId="57FB0635" w:rsidR="00634524" w:rsidRDefault="00634524" w:rsidP="00634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1106">
        <w:rPr>
          <w:rFonts w:ascii="Times New Roman" w:eastAsia="Times New Roman" w:hAnsi="Times New Roman" w:cs="Times New Roman"/>
          <w:sz w:val="24"/>
          <w:szCs w:val="24"/>
          <w:lang w:eastAsia="hr-HR"/>
        </w:rPr>
        <w:t>Ako korisnik sredstava nenamjenski koristi sredstva, ne izvrši program il</w:t>
      </w:r>
      <w:r w:rsidR="000743A7">
        <w:rPr>
          <w:rFonts w:ascii="Times New Roman" w:eastAsia="Times New Roman" w:hAnsi="Times New Roman" w:cs="Times New Roman"/>
          <w:sz w:val="24"/>
          <w:szCs w:val="24"/>
          <w:lang w:eastAsia="hr-HR"/>
        </w:rPr>
        <w:t>i ne podnese propisana izvješća neće moći biti korisnik sredstava Proračuna Općine Posedarje u idućoj kalendarskoj godini.</w:t>
      </w:r>
      <w:r w:rsidRPr="008E11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CCC197" w14:textId="2A5B2D80" w:rsidR="00634524" w:rsidRDefault="00634524" w:rsidP="00634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110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303DD1">
        <w:rPr>
          <w:rFonts w:ascii="Times New Roman" w:eastAsia="Times New Roman" w:hAnsi="Times New Roman" w:cs="Times New Roman"/>
          <w:sz w:val="24"/>
          <w:szCs w:val="24"/>
          <w:lang w:eastAsia="hr-HR"/>
        </w:rPr>
        <w:t>Posedarje</w:t>
      </w:r>
      <w:r w:rsidRPr="008E1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zadržava pravo praćenja izvršenja programa korisnika financijskih sredstava te kontrole namjenskog korištenja sredstava do pet godina nakon završetka programa.</w:t>
      </w:r>
    </w:p>
    <w:p w14:paraId="6388C2DE" w14:textId="77777777" w:rsidR="00E26CFB" w:rsidRDefault="00E26CFB" w:rsidP="00634524">
      <w:pPr>
        <w:spacing w:after="0"/>
        <w:jc w:val="both"/>
        <w:rPr>
          <w:rFonts w:ascii="Times New Roman" w:hAnsi="Times New Roman" w:cs="Arial"/>
        </w:rPr>
      </w:pPr>
    </w:p>
    <w:p w14:paraId="6B8418C8" w14:textId="63D9DBB9" w:rsidR="008F5C2B" w:rsidRPr="00EA7929" w:rsidRDefault="008F5C2B" w:rsidP="00634524">
      <w:pPr>
        <w:spacing w:after="0"/>
        <w:jc w:val="both"/>
        <w:rPr>
          <w:rFonts w:ascii="Times New Roman" w:hAnsi="Times New Roman" w:cs="Arial"/>
        </w:rPr>
      </w:pPr>
      <w:r w:rsidRPr="00EA7929">
        <w:rPr>
          <w:rFonts w:ascii="Times New Roman" w:hAnsi="Times New Roman" w:cs="Arial"/>
        </w:rPr>
        <w:t xml:space="preserve">Korisnici iz točke I. ovog programa dužni su dostaviti izvješće o </w:t>
      </w:r>
      <w:r w:rsidR="000743A7">
        <w:rPr>
          <w:rFonts w:ascii="Times New Roman" w:hAnsi="Times New Roman" w:cs="Arial"/>
        </w:rPr>
        <w:t xml:space="preserve">namjenskom utrošku sredstava za </w:t>
      </w:r>
      <w:r w:rsidRPr="00EA7929">
        <w:rPr>
          <w:rFonts w:ascii="Times New Roman" w:hAnsi="Times New Roman" w:cs="Arial"/>
        </w:rPr>
        <w:t xml:space="preserve"> proračunska sredstva iz ovog </w:t>
      </w:r>
      <w:r>
        <w:rPr>
          <w:rFonts w:ascii="Times New Roman" w:hAnsi="Times New Roman" w:cs="Arial"/>
        </w:rPr>
        <w:t>P</w:t>
      </w:r>
      <w:r w:rsidRPr="00EA7929">
        <w:rPr>
          <w:rFonts w:ascii="Times New Roman" w:hAnsi="Times New Roman" w:cs="Arial"/>
        </w:rPr>
        <w:t>rograma</w:t>
      </w:r>
      <w:r w:rsidR="00EC30EF">
        <w:rPr>
          <w:rFonts w:ascii="Times New Roman" w:hAnsi="Times New Roman" w:cs="Arial"/>
        </w:rPr>
        <w:t xml:space="preserve">. </w:t>
      </w:r>
      <w:r w:rsidRPr="00EA7929">
        <w:rPr>
          <w:rFonts w:ascii="Times New Roman" w:hAnsi="Times New Roman" w:cs="Arial"/>
        </w:rPr>
        <w:t xml:space="preserve"> </w:t>
      </w:r>
    </w:p>
    <w:p w14:paraId="497EAE0E" w14:textId="065C7AED" w:rsidR="00411C04" w:rsidRDefault="00411C04" w:rsidP="00411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4E49B2F" w14:textId="14B4A843" w:rsidR="00634524" w:rsidRDefault="00076E3A" w:rsidP="006303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634524">
        <w:rPr>
          <w:rFonts w:ascii="Times New Roman" w:hAnsi="Times New Roman" w:cs="Times New Roman"/>
        </w:rPr>
        <w:t>.</w:t>
      </w:r>
    </w:p>
    <w:p w14:paraId="0BC8786D" w14:textId="2A6036CC" w:rsidR="00634524" w:rsidRDefault="00634524" w:rsidP="00411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snagu danom donošenja i ista će se objaviti na Internet stranici Općine </w:t>
      </w:r>
      <w:r w:rsidR="00303DD1">
        <w:rPr>
          <w:rFonts w:ascii="Times New Roman" w:hAnsi="Times New Roman" w:cs="Times New Roman"/>
        </w:rPr>
        <w:t>Posedarje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="000743A7" w:rsidRPr="00976D3A">
          <w:rPr>
            <w:rStyle w:val="Hyperlink"/>
            <w:rFonts w:ascii="Times New Roman" w:hAnsi="Times New Roman" w:cs="Times New Roman"/>
          </w:rPr>
          <w:t>www.opcina-posedarje.hr</w:t>
        </w:r>
      </w:hyperlink>
      <w:r>
        <w:rPr>
          <w:rFonts w:ascii="Times New Roman" w:hAnsi="Times New Roman" w:cs="Times New Roman"/>
        </w:rPr>
        <w:t xml:space="preserve"> </w:t>
      </w:r>
    </w:p>
    <w:p w14:paraId="317031EE" w14:textId="383838CD" w:rsidR="00660F40" w:rsidRDefault="00660F40" w:rsidP="00411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12B37A2B" w14:textId="67C00246" w:rsidR="00660F40" w:rsidRPr="00A6070A" w:rsidRDefault="00E4762D" w:rsidP="00660F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070A">
        <w:rPr>
          <w:rFonts w:ascii="Times New Roman" w:hAnsi="Times New Roman"/>
          <w:b/>
          <w:bCs/>
          <w:sz w:val="24"/>
          <w:szCs w:val="24"/>
        </w:rPr>
        <w:t xml:space="preserve">Uputa o podnošenju prigovora: </w:t>
      </w:r>
    </w:p>
    <w:p w14:paraId="7C594CCB" w14:textId="77777777" w:rsidR="00660F40" w:rsidRPr="00A6070A" w:rsidRDefault="00660F40" w:rsidP="00660F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24AD32" w14:textId="0B0F107F" w:rsidR="00660F40" w:rsidRDefault="00660F40" w:rsidP="00660F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06">
        <w:rPr>
          <w:rFonts w:ascii="Times New Roman" w:hAnsi="Times New Roman"/>
          <w:sz w:val="24"/>
          <w:szCs w:val="24"/>
        </w:rPr>
        <w:t xml:space="preserve">Prigovor protiv </w:t>
      </w:r>
      <w:r>
        <w:rPr>
          <w:rFonts w:ascii="Times New Roman" w:hAnsi="Times New Roman"/>
          <w:sz w:val="24"/>
          <w:szCs w:val="24"/>
        </w:rPr>
        <w:t xml:space="preserve">ove </w:t>
      </w:r>
      <w:r w:rsidRPr="008E1106">
        <w:rPr>
          <w:rFonts w:ascii="Times New Roman" w:hAnsi="Times New Roman"/>
          <w:sz w:val="24"/>
          <w:szCs w:val="24"/>
        </w:rPr>
        <w:t xml:space="preserve">odluke o dodjeli financijskih sredstava podnosi se </w:t>
      </w:r>
      <w:r>
        <w:rPr>
          <w:rFonts w:ascii="Times New Roman" w:hAnsi="Times New Roman"/>
          <w:sz w:val="24"/>
          <w:szCs w:val="24"/>
        </w:rPr>
        <w:t xml:space="preserve">Općinskom načelniku Općine </w:t>
      </w:r>
      <w:r w:rsidR="00303DD1">
        <w:rPr>
          <w:rFonts w:ascii="Times New Roman" w:hAnsi="Times New Roman"/>
          <w:sz w:val="24"/>
          <w:szCs w:val="24"/>
        </w:rPr>
        <w:t>Posedarje</w:t>
      </w:r>
      <w:r>
        <w:rPr>
          <w:rFonts w:ascii="Times New Roman" w:hAnsi="Times New Roman"/>
          <w:sz w:val="24"/>
          <w:szCs w:val="24"/>
        </w:rPr>
        <w:t xml:space="preserve"> u roku od osam dana od dana dostave odluke o dodjeli financijskih sredstava.</w:t>
      </w:r>
    </w:p>
    <w:p w14:paraId="721FB9DD" w14:textId="0CA92289" w:rsidR="00660F40" w:rsidRPr="008E1106" w:rsidRDefault="00660F40" w:rsidP="00660F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Odluka o dodjeli sredstava dostavlja se javnom objavom na mrežnim stranicama Općine </w:t>
      </w:r>
      <w:r w:rsidR="00303DD1">
        <w:rPr>
          <w:rFonts w:ascii="Times New Roman" w:hAnsi="Times New Roman"/>
          <w:sz w:val="24"/>
          <w:szCs w:val="24"/>
        </w:rPr>
        <w:t>Posedarje</w:t>
      </w:r>
      <w:r>
        <w:rPr>
          <w:rFonts w:ascii="Times New Roman" w:hAnsi="Times New Roman"/>
          <w:sz w:val="24"/>
          <w:szCs w:val="24"/>
        </w:rPr>
        <w:t xml:space="preserve">. Dostava se smatra obavljenom istekom osmoga dana od dana javne objave na mrežnim stranicama Općine </w:t>
      </w:r>
      <w:r w:rsidR="00303DD1">
        <w:rPr>
          <w:rFonts w:ascii="Times New Roman" w:hAnsi="Times New Roman"/>
          <w:sz w:val="24"/>
          <w:szCs w:val="24"/>
        </w:rPr>
        <w:t>Posedarje</w:t>
      </w:r>
      <w:r>
        <w:rPr>
          <w:rFonts w:ascii="Times New Roman" w:hAnsi="Times New Roman"/>
          <w:sz w:val="24"/>
          <w:szCs w:val="24"/>
        </w:rPr>
        <w:t>. Općinski načelnik</w:t>
      </w:r>
      <w:r w:rsidRPr="008E1106">
        <w:rPr>
          <w:rFonts w:ascii="Times New Roman" w:hAnsi="Times New Roman"/>
          <w:sz w:val="24"/>
          <w:szCs w:val="24"/>
        </w:rPr>
        <w:t xml:space="preserve"> duž</w:t>
      </w:r>
      <w:r>
        <w:rPr>
          <w:rFonts w:ascii="Times New Roman" w:hAnsi="Times New Roman"/>
          <w:sz w:val="24"/>
          <w:szCs w:val="24"/>
        </w:rPr>
        <w:t>an</w:t>
      </w:r>
      <w:r w:rsidRPr="008E1106">
        <w:rPr>
          <w:rFonts w:ascii="Times New Roman" w:hAnsi="Times New Roman"/>
          <w:sz w:val="24"/>
          <w:szCs w:val="24"/>
        </w:rPr>
        <w:t xml:space="preserve"> je odgovoriti na prigovor u roku od 30 dana od dana podnošenja prigovora.</w:t>
      </w:r>
    </w:p>
    <w:p w14:paraId="462A55F6" w14:textId="77777777" w:rsidR="00660F40" w:rsidRDefault="00660F40" w:rsidP="00660F4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2998C03" w14:textId="77777777" w:rsidR="0063033B" w:rsidRDefault="0063033B" w:rsidP="0063033B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NAČELNIK:</w:t>
      </w:r>
    </w:p>
    <w:p w14:paraId="279D1C91" w14:textId="77777777" w:rsidR="0063033B" w:rsidRDefault="0063033B" w:rsidP="00630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515DB979" w14:textId="4E129595" w:rsidR="0063033B" w:rsidRDefault="0063033B" w:rsidP="00630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F2587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0743A7">
        <w:rPr>
          <w:rFonts w:ascii="Times New Roman" w:hAnsi="Times New Roman" w:cs="Times New Roman"/>
        </w:rPr>
        <w:t>Ivica Klanac, dipl.ing.građ.</w:t>
      </w:r>
    </w:p>
    <w:p w14:paraId="56C787CC" w14:textId="13A125C9" w:rsidR="00660F40" w:rsidRDefault="00660F40" w:rsidP="00411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09C481C8" w14:textId="2396DD9D" w:rsidR="0063033B" w:rsidRDefault="0063033B" w:rsidP="00411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Dostaviti: </w:t>
      </w:r>
    </w:p>
    <w:p w14:paraId="1B4AA8AC" w14:textId="415003F3" w:rsidR="0063033B" w:rsidRDefault="0063033B" w:rsidP="000743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Udrugama i klubovima iz točke I. ove Odluke, putem javne objave na Internet stranici Općine </w:t>
      </w:r>
      <w:r w:rsidR="00303DD1">
        <w:rPr>
          <w:rFonts w:ascii="Times New Roman" w:hAnsi="Times New Roman" w:cs="Times New Roman"/>
        </w:rPr>
        <w:t>Posedarje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="000743A7" w:rsidRPr="00976D3A">
          <w:rPr>
            <w:rStyle w:val="Hyperlink"/>
            <w:rFonts w:ascii="Times New Roman" w:hAnsi="Times New Roman" w:cs="Times New Roman"/>
          </w:rPr>
          <w:t>www.opcina-posedarje.hr</w:t>
        </w:r>
      </w:hyperlink>
      <w:r>
        <w:rPr>
          <w:rFonts w:ascii="Times New Roman" w:hAnsi="Times New Roman" w:cs="Times New Roman"/>
        </w:rPr>
        <w:t xml:space="preserve"> , </w:t>
      </w:r>
    </w:p>
    <w:p w14:paraId="05A46570" w14:textId="0F9E71F4" w:rsidR="0063033B" w:rsidRPr="0063033B" w:rsidRDefault="000743A7" w:rsidP="00630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3033B">
        <w:rPr>
          <w:rFonts w:ascii="Times New Roman" w:hAnsi="Times New Roman" w:cs="Times New Roman"/>
        </w:rPr>
        <w:t xml:space="preserve">) Jedinstveni upravni odjel Općine </w:t>
      </w:r>
      <w:r w:rsidR="00303DD1">
        <w:rPr>
          <w:rFonts w:ascii="Times New Roman" w:hAnsi="Times New Roman" w:cs="Times New Roman"/>
        </w:rPr>
        <w:t>Posedarje</w:t>
      </w:r>
    </w:p>
    <w:sectPr w:rsidR="0063033B" w:rsidRPr="0063033B" w:rsidSect="00A83879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6BBB"/>
    <w:multiLevelType w:val="hybridMultilevel"/>
    <w:tmpl w:val="A16E9A2A"/>
    <w:lvl w:ilvl="0" w:tplc="3DC285E2">
      <w:start w:val="1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6260869"/>
    <w:multiLevelType w:val="hybridMultilevel"/>
    <w:tmpl w:val="FAB6D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22A0D"/>
    <w:multiLevelType w:val="hybridMultilevel"/>
    <w:tmpl w:val="DA906A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D460C"/>
    <w:multiLevelType w:val="hybridMultilevel"/>
    <w:tmpl w:val="06483C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1E"/>
    <w:rsid w:val="00025859"/>
    <w:rsid w:val="000477D9"/>
    <w:rsid w:val="000743A7"/>
    <w:rsid w:val="00076E3A"/>
    <w:rsid w:val="00077402"/>
    <w:rsid w:val="0008736D"/>
    <w:rsid w:val="000A5591"/>
    <w:rsid w:val="000E1407"/>
    <w:rsid w:val="000E3E6B"/>
    <w:rsid w:val="00115355"/>
    <w:rsid w:val="00132031"/>
    <w:rsid w:val="00164BE3"/>
    <w:rsid w:val="001A612A"/>
    <w:rsid w:val="00210B28"/>
    <w:rsid w:val="00216D92"/>
    <w:rsid w:val="00241AA6"/>
    <w:rsid w:val="00241D83"/>
    <w:rsid w:val="00285866"/>
    <w:rsid w:val="00303DD1"/>
    <w:rsid w:val="003733BE"/>
    <w:rsid w:val="00382133"/>
    <w:rsid w:val="00404C18"/>
    <w:rsid w:val="00411C04"/>
    <w:rsid w:val="004168AC"/>
    <w:rsid w:val="005027A6"/>
    <w:rsid w:val="0052411A"/>
    <w:rsid w:val="0054523A"/>
    <w:rsid w:val="00552F40"/>
    <w:rsid w:val="005930BF"/>
    <w:rsid w:val="005A3E53"/>
    <w:rsid w:val="005E443D"/>
    <w:rsid w:val="0063033B"/>
    <w:rsid w:val="00634524"/>
    <w:rsid w:val="00660F40"/>
    <w:rsid w:val="0067085E"/>
    <w:rsid w:val="006A36B0"/>
    <w:rsid w:val="00701AFE"/>
    <w:rsid w:val="0070427C"/>
    <w:rsid w:val="0073001A"/>
    <w:rsid w:val="007308E8"/>
    <w:rsid w:val="007371C5"/>
    <w:rsid w:val="0074111F"/>
    <w:rsid w:val="00747578"/>
    <w:rsid w:val="00787A22"/>
    <w:rsid w:val="007E09C1"/>
    <w:rsid w:val="00817EE8"/>
    <w:rsid w:val="00876506"/>
    <w:rsid w:val="008A1701"/>
    <w:rsid w:val="008B1344"/>
    <w:rsid w:val="008F5C2B"/>
    <w:rsid w:val="00920CFD"/>
    <w:rsid w:val="00957101"/>
    <w:rsid w:val="009777DA"/>
    <w:rsid w:val="009A7037"/>
    <w:rsid w:val="009D195B"/>
    <w:rsid w:val="009F504F"/>
    <w:rsid w:val="00A40DE8"/>
    <w:rsid w:val="00A424CC"/>
    <w:rsid w:val="00A6070A"/>
    <w:rsid w:val="00A83879"/>
    <w:rsid w:val="00A86F7F"/>
    <w:rsid w:val="00AC6863"/>
    <w:rsid w:val="00B035EF"/>
    <w:rsid w:val="00B1172F"/>
    <w:rsid w:val="00B136D5"/>
    <w:rsid w:val="00B3217E"/>
    <w:rsid w:val="00B621DF"/>
    <w:rsid w:val="00B63012"/>
    <w:rsid w:val="00B85E5F"/>
    <w:rsid w:val="00B869A3"/>
    <w:rsid w:val="00BC13C2"/>
    <w:rsid w:val="00C11D11"/>
    <w:rsid w:val="00C90765"/>
    <w:rsid w:val="00CA0461"/>
    <w:rsid w:val="00D001D9"/>
    <w:rsid w:val="00D44F96"/>
    <w:rsid w:val="00D76169"/>
    <w:rsid w:val="00D84CEE"/>
    <w:rsid w:val="00DF1191"/>
    <w:rsid w:val="00DF24EF"/>
    <w:rsid w:val="00E10A45"/>
    <w:rsid w:val="00E119D1"/>
    <w:rsid w:val="00E2651E"/>
    <w:rsid w:val="00E26CFB"/>
    <w:rsid w:val="00E4762D"/>
    <w:rsid w:val="00EA7007"/>
    <w:rsid w:val="00EC0C10"/>
    <w:rsid w:val="00EC30EF"/>
    <w:rsid w:val="00F2587F"/>
    <w:rsid w:val="00F330E5"/>
    <w:rsid w:val="00F427C5"/>
    <w:rsid w:val="00F82883"/>
    <w:rsid w:val="00F96A5F"/>
    <w:rsid w:val="00FA5B98"/>
    <w:rsid w:val="00F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9F0F"/>
  <w15:docId w15:val="{79720D91-5097-4AB3-8E99-64A4A32B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9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9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E2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4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posedarje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-posedar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7D4B-08BF-4152-95F1-540C5253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Gardelin</dc:creator>
  <cp:keywords/>
  <dc:description/>
  <cp:lastModifiedBy>Marina</cp:lastModifiedBy>
  <cp:revision>8</cp:revision>
  <cp:lastPrinted>2025-01-10T08:22:00Z</cp:lastPrinted>
  <dcterms:created xsi:type="dcterms:W3CDTF">2024-02-08T11:22:00Z</dcterms:created>
  <dcterms:modified xsi:type="dcterms:W3CDTF">2025-01-10T08:23:00Z</dcterms:modified>
</cp:coreProperties>
</file>