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D67823" w:rsidRPr="001B56FE" w:rsidTr="006B5387">
        <w:trPr>
          <w:trHeight w:val="1267"/>
        </w:trPr>
        <w:tc>
          <w:tcPr>
            <w:tcW w:w="828" w:type="dxa"/>
          </w:tcPr>
          <w:p w:rsidR="00D67823" w:rsidRPr="001B56FE" w:rsidRDefault="00D67823" w:rsidP="006B5387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1B56FE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01CBE57C" wp14:editId="062F8511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:rsidR="00D67823" w:rsidRPr="001B56FE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B56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:rsidR="00D67823" w:rsidRPr="001B56FE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B56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:rsidR="00D67823" w:rsidRPr="001B56FE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1B56F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:rsidR="00D67823" w:rsidRPr="001B56FE" w:rsidRDefault="00D67823" w:rsidP="00D678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KLASA: 944-18/23-01/04</w:t>
      </w:r>
    </w:p>
    <w:p w:rsidR="00D67823" w:rsidRPr="001B56FE" w:rsidRDefault="00D67823" w:rsidP="00D67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URBROJ: 2198-07-2/1-2</w:t>
      </w:r>
      <w:r w:rsidR="00E007E5">
        <w:rPr>
          <w:rFonts w:ascii="Times New Roman" w:eastAsia="Times New Roman" w:hAnsi="Times New Roman"/>
          <w:sz w:val="24"/>
          <w:szCs w:val="24"/>
        </w:rPr>
        <w:t>4</w:t>
      </w:r>
      <w:r w:rsidR="00BF556A">
        <w:rPr>
          <w:rFonts w:ascii="Times New Roman" w:eastAsia="Times New Roman" w:hAnsi="Times New Roman"/>
          <w:sz w:val="24"/>
          <w:szCs w:val="24"/>
        </w:rPr>
        <w:t>-0</w:t>
      </w:r>
      <w:r w:rsidR="00E007E5">
        <w:rPr>
          <w:rFonts w:ascii="Times New Roman" w:eastAsia="Times New Roman" w:hAnsi="Times New Roman"/>
          <w:sz w:val="24"/>
          <w:szCs w:val="24"/>
        </w:rPr>
        <w:t>8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Na temelju članka 3. Odluke o prodaji zemljišta u Turističkoj zoni Posedarje - Svrdlac Ivandići (Službeni glasnik Općine Posedarje br 08/23), Općinski načelnik Općine Posedarje donosi: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 xml:space="preserve">ODLUKU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>o raspisivanju javnog natjčaja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>za prodaju građevinskog zemljišta u Turističkoj zoni Posedarje - Svrdlac Ivandići</w:t>
      </w:r>
    </w:p>
    <w:p w:rsidR="00D67823" w:rsidRPr="001B56FE" w:rsidRDefault="00D67823" w:rsidP="00D67823">
      <w:pPr>
        <w:pStyle w:val="NoSpacing"/>
        <w:rPr>
          <w:rFonts w:ascii="Times New Roman" w:hAnsi="Times New Roman"/>
          <w:sz w:val="24"/>
          <w:szCs w:val="24"/>
        </w:rPr>
      </w:pPr>
    </w:p>
    <w:p w:rsidR="00D67823" w:rsidRPr="001B56FE" w:rsidRDefault="00D67823" w:rsidP="00D6782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Predmet javnog natječaja je nekretnina, u vlasništvu Općine Posedarje, a koja se nalazi u </w:t>
      </w:r>
      <w:r w:rsidRPr="001B56FE">
        <w:rPr>
          <w:rFonts w:ascii="Times New Roman" w:hAnsi="Times New Roman"/>
          <w:b/>
          <w:sz w:val="24"/>
          <w:szCs w:val="24"/>
        </w:rPr>
        <w:t>Turističkoj zoni Posedarje - Svrdlac Ivandići</w:t>
      </w:r>
      <w:r w:rsidRPr="001B56FE">
        <w:rPr>
          <w:rFonts w:ascii="Times New Roman" w:hAnsi="Times New Roman"/>
          <w:sz w:val="24"/>
          <w:szCs w:val="24"/>
        </w:rPr>
        <w:t>:</w:t>
      </w:r>
    </w:p>
    <w:tbl>
      <w:tblPr>
        <w:tblStyle w:val="TableGrid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38"/>
        <w:gridCol w:w="1470"/>
        <w:gridCol w:w="1397"/>
        <w:gridCol w:w="1285"/>
        <w:gridCol w:w="2064"/>
      </w:tblGrid>
      <w:tr w:rsidR="004146A6" w:rsidRPr="001B56FE" w:rsidTr="009B79BD">
        <w:trPr>
          <w:jc w:val="center"/>
        </w:trPr>
        <w:tc>
          <w:tcPr>
            <w:tcW w:w="609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R. br.</w:t>
            </w:r>
          </w:p>
        </w:tc>
        <w:tc>
          <w:tcPr>
            <w:tcW w:w="3062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Oznaka građevinskog zemljišta</w:t>
            </w:r>
          </w:p>
        </w:tc>
        <w:tc>
          <w:tcPr>
            <w:tcW w:w="491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Katastarska općina</w:t>
            </w:r>
          </w:p>
        </w:tc>
        <w:tc>
          <w:tcPr>
            <w:tcW w:w="1449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Ukupna površina m2</w:t>
            </w:r>
          </w:p>
        </w:tc>
        <w:tc>
          <w:tcPr>
            <w:tcW w:w="1323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Kapacitet ležajeva</w:t>
            </w:r>
          </w:p>
        </w:tc>
        <w:tc>
          <w:tcPr>
            <w:tcW w:w="2123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b/>
                <w:sz w:val="24"/>
                <w:szCs w:val="24"/>
                <w:lang w:eastAsia="en-US"/>
              </w:rPr>
              <w:t>Početna cijena</w:t>
            </w:r>
          </w:p>
          <w:p w:rsidR="00F24DF9" w:rsidRPr="001B56FE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4146A6" w:rsidRPr="001B56FE" w:rsidTr="009B79BD">
        <w:trPr>
          <w:jc w:val="center"/>
        </w:trPr>
        <w:tc>
          <w:tcPr>
            <w:tcW w:w="609" w:type="dxa"/>
          </w:tcPr>
          <w:p w:rsidR="00F24DF9" w:rsidRPr="001B56FE" w:rsidRDefault="00F24DF9" w:rsidP="00D67823">
            <w:pPr>
              <w:numPr>
                <w:ilvl w:val="0"/>
                <w:numId w:val="3"/>
              </w:numPr>
              <w:suppressAutoHyphens/>
              <w:autoSpaceDN w:val="0"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:rsidR="00F24DF9" w:rsidRPr="001B56FE" w:rsidRDefault="00F24DF9" w:rsidP="00BF556A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Dio k.č. 143/488</w:t>
            </w:r>
            <w:r w:rsidR="00BF556A">
              <w:rPr>
                <w:rFonts w:eastAsia="Times New Roman"/>
                <w:sz w:val="24"/>
                <w:szCs w:val="24"/>
                <w:lang w:eastAsia="en-US"/>
              </w:rPr>
              <w:t xml:space="preserve"> (nastale od dijela  </w:t>
            </w:r>
            <w:r w:rsidR="00BF556A" w:rsidRPr="001B56FE">
              <w:rPr>
                <w:rFonts w:eastAsia="Times New Roman"/>
                <w:sz w:val="24"/>
                <w:szCs w:val="24"/>
                <w:lang w:eastAsia="en-US"/>
              </w:rPr>
              <w:t>k.č. 143/236</w:t>
            </w:r>
            <w:r w:rsidR="00BF556A">
              <w:rPr>
                <w:rFonts w:eastAsia="Times New Roman"/>
                <w:sz w:val="24"/>
                <w:szCs w:val="24"/>
                <w:lang w:eastAsia="en-US"/>
              </w:rPr>
              <w:t>)</w:t>
            </w:r>
            <w:r w:rsidR="00BF556A" w:rsidRPr="001B56FE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i 143/489</w:t>
            </w:r>
            <w:r w:rsidR="00BF556A">
              <w:rPr>
                <w:rFonts w:eastAsia="Times New Roman"/>
                <w:sz w:val="24"/>
                <w:szCs w:val="24"/>
                <w:lang w:eastAsia="en-US"/>
              </w:rPr>
              <w:t xml:space="preserve"> (</w:t>
            </w:r>
            <w:r w:rsidR="00BF556A" w:rsidRPr="00BF556A">
              <w:rPr>
                <w:rFonts w:eastAsia="Times New Roman"/>
                <w:sz w:val="24"/>
                <w:szCs w:val="24"/>
                <w:lang w:eastAsia="en-US"/>
              </w:rPr>
              <w:t>143/125</w:t>
            </w:r>
            <w:r w:rsidR="00BF556A">
              <w:rPr>
                <w:rFonts w:eastAsia="Times New Roman"/>
                <w:sz w:val="24"/>
                <w:szCs w:val="24"/>
                <w:lang w:eastAsia="en-US"/>
              </w:rPr>
              <w:t>)</w:t>
            </w:r>
            <w:r w:rsidR="00BF556A" w:rsidRPr="00BF556A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1B56FE">
              <w:rPr>
                <w:rFonts w:eastAsia="Times New Roman"/>
                <w:sz w:val="24"/>
                <w:szCs w:val="24"/>
                <w:lang w:eastAsia="en-US"/>
              </w:rPr>
              <w:t xml:space="preserve"> sve k.o. Posedarje</w:t>
            </w:r>
          </w:p>
        </w:tc>
        <w:tc>
          <w:tcPr>
            <w:tcW w:w="491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Posedarje</w:t>
            </w:r>
          </w:p>
        </w:tc>
        <w:tc>
          <w:tcPr>
            <w:tcW w:w="1449" w:type="dxa"/>
          </w:tcPr>
          <w:p w:rsidR="00F24DF9" w:rsidRPr="001B56FE" w:rsidRDefault="00BF556A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170.017</w:t>
            </w:r>
            <w:r w:rsidR="00F24DF9" w:rsidRPr="001B56FE">
              <w:rPr>
                <w:rFonts w:eastAsiaTheme="minorHAnsi"/>
                <w:sz w:val="24"/>
                <w:szCs w:val="24"/>
                <w:lang w:eastAsia="en-US"/>
              </w:rPr>
              <w:t>m2</w:t>
            </w:r>
          </w:p>
        </w:tc>
        <w:tc>
          <w:tcPr>
            <w:tcW w:w="1323" w:type="dxa"/>
          </w:tcPr>
          <w:p w:rsidR="00F24DF9" w:rsidRPr="001B56FE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1B56FE">
              <w:rPr>
                <w:rFonts w:eastAsia="Times New Roman"/>
                <w:sz w:val="24"/>
                <w:szCs w:val="24"/>
                <w:lang w:eastAsia="en-US"/>
              </w:rPr>
              <w:t>1.800</w:t>
            </w:r>
          </w:p>
        </w:tc>
        <w:tc>
          <w:tcPr>
            <w:tcW w:w="2123" w:type="dxa"/>
          </w:tcPr>
          <w:p w:rsidR="00F24DF9" w:rsidRPr="001B56FE" w:rsidRDefault="004146A6" w:rsidP="009B79BD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6.999.000,00</w:t>
            </w:r>
            <w:r w:rsidR="009B79BD" w:rsidRPr="001B56FE">
              <w:rPr>
                <w:rFonts w:eastAsia="Times New Roman"/>
                <w:sz w:val="24"/>
                <w:szCs w:val="24"/>
                <w:lang w:eastAsia="en-US"/>
              </w:rPr>
              <w:t>EUR</w:t>
            </w:r>
          </w:p>
        </w:tc>
      </w:tr>
    </w:tbl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 xml:space="preserve">Predmet prodaje preciznije je određen </w:t>
      </w:r>
      <w:r w:rsidR="00BF556A">
        <w:rPr>
          <w:rFonts w:ascii="Times New Roman" w:eastAsia="Times New Roman" w:hAnsi="Times New Roman"/>
          <w:sz w:val="24"/>
          <w:szCs w:val="24"/>
        </w:rPr>
        <w:t>geodetskoj situaciji sa linijom pomorskog dobra</w:t>
      </w:r>
      <w:r w:rsidRPr="001B56FE">
        <w:rPr>
          <w:rFonts w:ascii="Times New Roman" w:eastAsia="Times New Roman" w:hAnsi="Times New Roman"/>
          <w:sz w:val="24"/>
          <w:szCs w:val="24"/>
        </w:rPr>
        <w:t xml:space="preserve"> izrađenom po Geonode d.o.o. koja čini sastavni dio ovog javnog natječaja.</w:t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Nekretnine su u naravi neuređena građevinska zemljišta</w:t>
      </w:r>
      <w:r w:rsidR="00B20F2B" w:rsidRPr="001B56FE">
        <w:rPr>
          <w:rFonts w:ascii="Times New Roman" w:eastAsia="Times New Roman" w:hAnsi="Times New Roman"/>
          <w:sz w:val="24"/>
          <w:szCs w:val="24"/>
        </w:rPr>
        <w:t xml:space="preserve"> u turističkoj zoni.</w:t>
      </w:r>
      <w:r w:rsidR="00B20F2B" w:rsidRPr="001B56FE">
        <w:rPr>
          <w:rFonts w:ascii="Times New Roman" w:eastAsia="Times New Roman" w:hAnsi="Times New Roman"/>
          <w:sz w:val="24"/>
          <w:szCs w:val="24"/>
        </w:rPr>
        <w:tab/>
      </w:r>
      <w:r w:rsidRPr="001B56FE">
        <w:rPr>
          <w:rFonts w:ascii="Times New Roman" w:eastAsia="Times New Roman" w:hAnsi="Times New Roman"/>
          <w:sz w:val="24"/>
          <w:szCs w:val="24"/>
        </w:rPr>
        <w:tab/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Posebni uvjeti za turističku zonu Svrdlac-Ivandići u Posedarju:</w:t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•             max. katnost za hotele Po+S+P+4+Pk</w:t>
      </w:r>
    </w:p>
    <w:p w:rsidR="00D67823" w:rsidRPr="001B56FE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•             max. katnost ostalih građevina Po+S+P+2+Pk.</w:t>
      </w:r>
    </w:p>
    <w:p w:rsidR="00D67823" w:rsidRPr="003C6BF8" w:rsidRDefault="00D67823" w:rsidP="003C6B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56FE">
        <w:rPr>
          <w:rFonts w:ascii="Times New Roman" w:eastAsia="Times New Roman" w:hAnsi="Times New Roman"/>
          <w:sz w:val="24"/>
          <w:szCs w:val="24"/>
        </w:rPr>
        <w:t>Zemljište se prodaje po načelu „viđeno – kupljeno“ što isključuje naknadne prigovore kupca.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II.</w:t>
      </w:r>
    </w:p>
    <w:p w:rsidR="00D67823" w:rsidRPr="003C6BF8" w:rsidRDefault="00D67823" w:rsidP="003C6BF8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hAnsi="Times New Roman"/>
          <w:sz w:val="24"/>
          <w:szCs w:val="24"/>
        </w:rPr>
        <w:t>Početna cijena za nekretnine je navedena u tablici točke 1. ovog Javnog natječaja u eurima.</w:t>
      </w:r>
      <w:r w:rsidR="00B20F2B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 Posebni uvjeti javnog natječaja: Ponuditelj se obvezuje na kupljenom zemljištu u turističkoj zoni izgraditi barem jedan objekt iz kategoriije hoteli, minimalnog kapaciteta 200 ležajeva i kategor</w:t>
      </w:r>
      <w:r w:rsidR="001B56FE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izacije minimalno 4 zvijezdice, krajnji rok za ishodovanje uporabne dozvole za hotel je 5 godina od sklapanja Ugovora o kupoprodaji koji </w:t>
      </w:r>
      <w:r w:rsidR="004146A6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uvjet </w:t>
      </w:r>
      <w:r w:rsidR="001B56FE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će se Ugovorom definirati kao raskidni uvjet, ispunjenjem kojega raskidnog uvjeta Općina Posedarje može raskinuti ugovor pri čemu se Općini Posedarje u vlasništvo vraća cjelokupno zemljište uz  povrat 50% uplaćene cijene za zemljište i bez prava na ikakvu daljnju naknadu do tada nastalog troška ulaganja ili izgubljene dobiti investitoru. </w:t>
      </w:r>
      <w:r w:rsidR="00B20F2B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Ponuditelj se obvezuje da će popratne ugostiteljske i rekreakcijske usluge turističke zone biti otvorenog tipa – tj. dostupne pod tržišnim uvjetima i turistima i mještanima koji ne ostvaruju noćenja unutar turističke zone.</w:t>
      </w:r>
      <w:bookmarkStart w:id="0" w:name="_GoBack"/>
      <w:bookmarkEnd w:id="0"/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III.</w:t>
      </w:r>
    </w:p>
    <w:p w:rsidR="00D67823" w:rsidRPr="001B56FE" w:rsidRDefault="00D67823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Jamčevina </w:t>
      </w:r>
      <w:r w:rsidR="00B20F2B" w:rsidRPr="001B56FE">
        <w:rPr>
          <w:rFonts w:ascii="Times New Roman" w:hAnsi="Times New Roman"/>
          <w:sz w:val="24"/>
          <w:szCs w:val="24"/>
        </w:rPr>
        <w:t>za su</w:t>
      </w:r>
      <w:r w:rsidR="001B56FE" w:rsidRPr="001B56FE">
        <w:rPr>
          <w:rFonts w:ascii="Times New Roman" w:hAnsi="Times New Roman"/>
          <w:sz w:val="24"/>
          <w:szCs w:val="24"/>
        </w:rPr>
        <w:t>djelovanje u natječaju iznosi 35</w:t>
      </w:r>
      <w:r w:rsidR="00B20F2B" w:rsidRPr="001B56FE">
        <w:rPr>
          <w:rFonts w:ascii="Times New Roman" w:hAnsi="Times New Roman"/>
          <w:sz w:val="24"/>
          <w:szCs w:val="24"/>
        </w:rPr>
        <w:t>0.000,00 EUR i uplaćuje se na račun Općine  Posedarje, broj IBAN: HR1523900011834900004, otvoren kod Hrvatske poštanske banke d.d., model: HR68, poziv na broj 7706-OIB uplatitelja, svrha uplate: „jamčevina za kupnju zemljišta Turističkoj zoni.“ U slučaju da najpovoljniji ponuditelj odustane od ponude prije sklapanja ugovora jamčevina se ne vraća</w:t>
      </w:r>
      <w:r w:rsidR="00233CA1" w:rsidRPr="001B56FE">
        <w:rPr>
          <w:rFonts w:ascii="Times New Roman" w:hAnsi="Times New Roman"/>
          <w:sz w:val="24"/>
          <w:szCs w:val="24"/>
        </w:rPr>
        <w:t>,</w:t>
      </w:r>
      <w:r w:rsidR="00B20F2B" w:rsidRPr="001B56FE">
        <w:rPr>
          <w:rFonts w:ascii="Times New Roman" w:hAnsi="Times New Roman"/>
          <w:sz w:val="24"/>
          <w:szCs w:val="24"/>
        </w:rPr>
        <w:t xml:space="preserve"> a ugovor se sklapa sa slijedećim najpovoljnijim ponuditeljem.</w:t>
      </w:r>
    </w:p>
    <w:p w:rsidR="00B20F2B" w:rsidRPr="001B56FE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lastRenderedPageBreak/>
        <w:t>IV.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Pravo sudjelovanja u kupnji nekretnina iz točke I. imaju sve pravne i fizičke osobe, državljani Republike Hrvatske, kao i sve strane fizičke i pravne osobe koje mogu stjecati pravo vlasništva na građevinskim zemljištima u RH, sukladno Zakonu o vlasništvu i drugim stvarnim pravima ( „Narodne novine“, broj 91/96., 69/98., 137/99., 22/00., 73/00., 114/01., 79/06., 141/06.,146/08., 38/09., 153/09., 143/12., 152/14, 81/15, 94/17. ), koje nemaju  duga prema Općini Posedarje, a što će se utvrditi uvidom u službene eviden</w:t>
      </w:r>
      <w:r w:rsidR="00B20F2B" w:rsidRPr="001B56FE">
        <w:rPr>
          <w:rFonts w:ascii="Times New Roman" w:hAnsi="Times New Roman"/>
          <w:sz w:val="24"/>
          <w:szCs w:val="24"/>
        </w:rPr>
        <w:t>cije u postupku pregleda ponuda</w:t>
      </w:r>
      <w:r w:rsidRPr="001B56FE">
        <w:rPr>
          <w:rFonts w:ascii="Times New Roman" w:hAnsi="Times New Roman"/>
          <w:sz w:val="24"/>
          <w:szCs w:val="24"/>
        </w:rPr>
        <w:t>.</w:t>
      </w:r>
    </w:p>
    <w:p w:rsidR="00B20F2B" w:rsidRPr="003C6BF8" w:rsidRDefault="00D67823" w:rsidP="003C6BF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Ponuda mora sadržavati: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1.</w:t>
      </w: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ab/>
        <w:t>ime i prezime ponuditelja odn</w:t>
      </w:r>
      <w:r w:rsidR="00233CA1"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o</w:t>
      </w: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sno naziv pravne osobe, OIB, adresu, broj telefona/mobitela i cijenu ponude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2.</w:t>
      </w: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ab/>
        <w:t>presliku osobne iskaznice za fizičke osobe odnosno Izvod iz odgovarajućeg registra za pravne osobe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3.    dokaz o uplaćenoj jamčevini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>4. Concept note tj. kratki opis planirane investicije</w:t>
      </w:r>
    </w:p>
    <w:p w:rsidR="00B20F2B" w:rsidRPr="001B56FE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</w:pPr>
      <w:r w:rsidRPr="001B56FE">
        <w:rPr>
          <w:rFonts w:ascii="Times New Roman" w:eastAsia="Andale Sans UI" w:hAnsi="Times New Roman"/>
          <w:kern w:val="1"/>
          <w:sz w:val="24"/>
          <w:szCs w:val="24"/>
          <w:lang w:eastAsia="zh-CN" w:bidi="en-US"/>
        </w:rPr>
        <w:t xml:space="preserve">5. Izjava o prihvaćanju uvjeta natječaja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V.</w:t>
      </w:r>
    </w:p>
    <w:p w:rsidR="00B20F2B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Sve informacije o predmetnoj nekretnini mogu se dobiti u uredu pročelnika Jedinstvenog upravnog odjela, na adresi Trg Martina Posedarskog 1, 23242 Posedarje i na broj telefona 023/266-775. Nekretnine se mogu razgledati za sve vrijeme trajanja natječaja od 09:00-12:00. 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Ponude se predaju u Općinu Posedarje, Trg Martina Posedarskog 1, 23242  Posedarje,  ili se šalju poštom u zatvorenoj omotnici s naznakom „Ponuda za kupnju zemljišta u </w:t>
      </w:r>
      <w:r w:rsidR="00B20F2B" w:rsidRPr="001B56FE">
        <w:rPr>
          <w:rFonts w:ascii="Times New Roman" w:hAnsi="Times New Roman"/>
          <w:sz w:val="24"/>
          <w:szCs w:val="24"/>
        </w:rPr>
        <w:t xml:space="preserve">T </w:t>
      </w:r>
      <w:r w:rsidRPr="001B56FE">
        <w:rPr>
          <w:rFonts w:ascii="Times New Roman" w:hAnsi="Times New Roman"/>
          <w:sz w:val="24"/>
          <w:szCs w:val="24"/>
        </w:rPr>
        <w:t>zoni – ne otvaraj“  na adresu Općine Posedarje.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VII.</w:t>
      </w:r>
    </w:p>
    <w:p w:rsidR="00B20F2B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VIII.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U slučaju više ponuda istog ponuditelja  za  istu  nekretninu,  uz  uvjet  da  ponude  ispunjavaju  svim  uvjetima  natječaja,  kao prihvatljiva će se utvrditi ona ponuda istog ponuditelja čiji iznos ponude je najviši.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Odluku o izboru najpovoljnijeg ponuditelja donijet će Općinski načelnik. Općina ima pravo bez obrazloženja poništiti natječaj odnosno ne prihvatiti niti jednu ponudu i zbog tih razloga ne odgovara za eventualnu štetu, uz povrat jamčevine svim ponuditeljima.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IX.</w:t>
      </w:r>
    </w:p>
    <w:p w:rsidR="00F40DD1" w:rsidRPr="001B56FE" w:rsidRDefault="00F40DD1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Izabrani ponuditelj </w:t>
      </w:r>
      <w:r w:rsidR="00B20F2B" w:rsidRPr="001B56FE">
        <w:rPr>
          <w:rFonts w:ascii="Times New Roman" w:hAnsi="Times New Roman"/>
          <w:sz w:val="24"/>
          <w:szCs w:val="24"/>
        </w:rPr>
        <w:t>dužan je u roku od 30 dana od dostave Odluke  o izboru najpovoljnijeg ponuditelja  platiti cjelokupan iznos za premetnu nekretninu. Sa izabranim ponuditeljem zaključit će se kupoprodajni ugovor</w:t>
      </w:r>
      <w:r w:rsidR="004146A6">
        <w:rPr>
          <w:rFonts w:ascii="Times New Roman" w:hAnsi="Times New Roman"/>
          <w:sz w:val="24"/>
          <w:szCs w:val="24"/>
        </w:rPr>
        <w:t xml:space="preserve"> sa </w:t>
      </w:r>
      <w:r w:rsidR="00BD1EAD">
        <w:rPr>
          <w:rFonts w:ascii="Times New Roman" w:hAnsi="Times New Roman"/>
          <w:sz w:val="24"/>
          <w:szCs w:val="24"/>
        </w:rPr>
        <w:t>klausulom</w:t>
      </w:r>
      <w:r w:rsidR="00BD1EAD" w:rsidRPr="00BD1EAD">
        <w:rPr>
          <w:rFonts w:ascii="Times New Roman" w:hAnsi="Times New Roman"/>
          <w:sz w:val="24"/>
          <w:szCs w:val="24"/>
        </w:rPr>
        <w:t xml:space="preserve"> intabulandi</w:t>
      </w:r>
      <w:r w:rsidR="00B20F2B" w:rsidRPr="001B56FE">
        <w:rPr>
          <w:rFonts w:ascii="Times New Roman" w:hAnsi="Times New Roman"/>
          <w:sz w:val="24"/>
          <w:szCs w:val="24"/>
        </w:rPr>
        <w:t xml:space="preserve"> roku od 15 dana od dana plaćanja preostalog iznosa koji je ponudio za premetnu nekretninu.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Troškovi procjene zemljišta i objave javnog natječaja u dnevnom tisku i mrežnim stranicama ukalkulirani su u početnu cijenu. Izabrani ponuditelj stupa u posjed nekretnine odmah po zaključenju kupoprodajnog ugovora.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lastRenderedPageBreak/>
        <w:t>Ponuditelju koji ne uspije u natječaju uplaćena jamčevina vraća se u roku od 15 (petnaest) dana po završetku natječaja, a ponuditelj koji je uspio na natječaju pa odustao nema pravo na povrat jamčevine.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Ponuditelj je obvezan potpisati prijedlog ugovora i vratiti ga Općini Posedarje u roku od 8 (osam) dana po primitku ugovora, u protivnom će se smatrati da je odustao od natječaja</w:t>
      </w:r>
      <w:r w:rsidR="00E3290C">
        <w:rPr>
          <w:rFonts w:ascii="Times New Roman" w:hAnsi="Times New Roman"/>
          <w:sz w:val="24"/>
          <w:szCs w:val="24"/>
        </w:rPr>
        <w:t xml:space="preserve">, </w:t>
      </w:r>
      <w:r w:rsidRPr="001B56FE">
        <w:rPr>
          <w:rFonts w:ascii="Times New Roman" w:hAnsi="Times New Roman"/>
          <w:sz w:val="24"/>
          <w:szCs w:val="24"/>
        </w:rPr>
        <w:t xml:space="preserve">a uplaćenu </w:t>
      </w:r>
      <w:r w:rsidR="00E3290C">
        <w:rPr>
          <w:rFonts w:ascii="Times New Roman" w:hAnsi="Times New Roman"/>
          <w:sz w:val="24"/>
          <w:szCs w:val="24"/>
        </w:rPr>
        <w:t>jamčevinu i/ili do tada uplaćeni</w:t>
      </w:r>
      <w:r w:rsidRPr="001B56FE">
        <w:rPr>
          <w:rFonts w:ascii="Times New Roman" w:hAnsi="Times New Roman"/>
          <w:sz w:val="24"/>
          <w:szCs w:val="24"/>
        </w:rPr>
        <w:t xml:space="preserve"> </w:t>
      </w:r>
      <w:r w:rsidR="00E3290C">
        <w:rPr>
          <w:rFonts w:ascii="Times New Roman" w:hAnsi="Times New Roman"/>
          <w:sz w:val="24"/>
          <w:szCs w:val="24"/>
        </w:rPr>
        <w:t>dio</w:t>
      </w:r>
      <w:r w:rsidRPr="001B56FE">
        <w:rPr>
          <w:rFonts w:ascii="Times New Roman" w:hAnsi="Times New Roman"/>
          <w:sz w:val="24"/>
          <w:szCs w:val="24"/>
        </w:rPr>
        <w:t xml:space="preserve"> kupoprodajne cijene će zadržati prodavatelj. 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XIII.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Rok za podnošenje ponuda je </w:t>
      </w:r>
      <w:r w:rsidR="00E007E5">
        <w:rPr>
          <w:rFonts w:ascii="Times New Roman" w:hAnsi="Times New Roman"/>
          <w:sz w:val="24"/>
          <w:szCs w:val="24"/>
        </w:rPr>
        <w:t>11</w:t>
      </w:r>
      <w:r w:rsidRPr="001B56FE">
        <w:rPr>
          <w:rFonts w:ascii="Times New Roman" w:hAnsi="Times New Roman"/>
          <w:sz w:val="24"/>
          <w:szCs w:val="24"/>
        </w:rPr>
        <w:t>.</w:t>
      </w:r>
      <w:r w:rsidR="00BF556A">
        <w:rPr>
          <w:rFonts w:ascii="Times New Roman" w:hAnsi="Times New Roman"/>
          <w:sz w:val="24"/>
          <w:szCs w:val="24"/>
        </w:rPr>
        <w:t>0</w:t>
      </w:r>
      <w:r w:rsidR="00E007E5">
        <w:rPr>
          <w:rFonts w:ascii="Times New Roman" w:hAnsi="Times New Roman"/>
          <w:sz w:val="24"/>
          <w:szCs w:val="24"/>
        </w:rPr>
        <w:t>4</w:t>
      </w:r>
      <w:r w:rsidRPr="001B56FE">
        <w:rPr>
          <w:rFonts w:ascii="Times New Roman" w:hAnsi="Times New Roman"/>
          <w:sz w:val="24"/>
          <w:szCs w:val="24"/>
        </w:rPr>
        <w:t>.202</w:t>
      </w:r>
      <w:r w:rsidR="00BF556A">
        <w:rPr>
          <w:rFonts w:ascii="Times New Roman" w:hAnsi="Times New Roman"/>
          <w:sz w:val="24"/>
          <w:szCs w:val="24"/>
        </w:rPr>
        <w:t>4</w:t>
      </w:r>
      <w:r w:rsidRPr="001B56FE">
        <w:rPr>
          <w:rFonts w:ascii="Times New Roman" w:hAnsi="Times New Roman"/>
          <w:sz w:val="24"/>
          <w:szCs w:val="24"/>
        </w:rPr>
        <w:t>. godine (</w:t>
      </w:r>
      <w:r w:rsidR="00BF556A">
        <w:rPr>
          <w:rFonts w:ascii="Times New Roman" w:hAnsi="Times New Roman"/>
          <w:sz w:val="24"/>
          <w:szCs w:val="24"/>
        </w:rPr>
        <w:t>ponedjeljak</w:t>
      </w:r>
      <w:r w:rsidRPr="001B56FE">
        <w:rPr>
          <w:rFonts w:ascii="Times New Roman" w:hAnsi="Times New Roman"/>
          <w:sz w:val="24"/>
          <w:szCs w:val="24"/>
        </w:rPr>
        <w:t>) u 12.00 sati do kada ponude moraju biti zaprimljene u Općini Posedarje bez obzira na način dostave.</w:t>
      </w:r>
    </w:p>
    <w:p w:rsidR="00D67823" w:rsidRPr="001B56FE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>XIV.</w:t>
      </w:r>
    </w:p>
    <w:p w:rsidR="00D67823" w:rsidRPr="001B56FE" w:rsidRDefault="004146A6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Javno o</w:t>
      </w:r>
      <w:r w:rsidR="00D67823" w:rsidRPr="001B56FE">
        <w:rPr>
          <w:rFonts w:ascii="Times New Roman" w:hAnsi="Times New Roman"/>
          <w:sz w:val="24"/>
          <w:szCs w:val="24"/>
        </w:rPr>
        <w:t xml:space="preserve">tvaranje ponuda obavit će Povjerenstvo za provedbu natječaja dana </w:t>
      </w:r>
      <w:r w:rsidR="00E007E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BF556A">
        <w:rPr>
          <w:rFonts w:ascii="Times New Roman" w:hAnsi="Times New Roman"/>
          <w:sz w:val="24"/>
          <w:szCs w:val="24"/>
        </w:rPr>
        <w:t>0</w:t>
      </w:r>
      <w:r w:rsidR="00E007E5">
        <w:rPr>
          <w:rFonts w:ascii="Times New Roman" w:hAnsi="Times New Roman"/>
          <w:sz w:val="24"/>
          <w:szCs w:val="24"/>
        </w:rPr>
        <w:t>4</w:t>
      </w:r>
      <w:r w:rsidR="00D67823" w:rsidRPr="001B56FE">
        <w:rPr>
          <w:rFonts w:ascii="Times New Roman" w:hAnsi="Times New Roman"/>
          <w:sz w:val="24"/>
          <w:szCs w:val="24"/>
        </w:rPr>
        <w:t>.202</w:t>
      </w:r>
      <w:r w:rsidR="00BF556A">
        <w:rPr>
          <w:rFonts w:ascii="Times New Roman" w:hAnsi="Times New Roman"/>
          <w:sz w:val="24"/>
          <w:szCs w:val="24"/>
        </w:rPr>
        <w:t>4</w:t>
      </w:r>
      <w:r w:rsidR="00D67823" w:rsidRPr="001B56FE">
        <w:rPr>
          <w:rFonts w:ascii="Times New Roman" w:hAnsi="Times New Roman"/>
          <w:sz w:val="24"/>
          <w:szCs w:val="24"/>
        </w:rPr>
        <w:t>. godine (</w:t>
      </w:r>
      <w:r w:rsidR="00BF556A">
        <w:rPr>
          <w:rFonts w:ascii="Times New Roman" w:hAnsi="Times New Roman"/>
          <w:sz w:val="24"/>
          <w:szCs w:val="24"/>
        </w:rPr>
        <w:t>ponedjeljak</w:t>
      </w:r>
      <w:r w:rsidR="00D67823" w:rsidRPr="001B56FE">
        <w:rPr>
          <w:rFonts w:ascii="Times New Roman" w:hAnsi="Times New Roman"/>
          <w:sz w:val="24"/>
          <w:szCs w:val="24"/>
        </w:rPr>
        <w:t>) u 12.00 sati u prostorijama Općine Posedarje.</w:t>
      </w: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B56FE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U Posedarju, </w:t>
      </w:r>
      <w:r w:rsidR="00E007E5">
        <w:rPr>
          <w:rFonts w:ascii="Times New Roman" w:hAnsi="Times New Roman"/>
          <w:sz w:val="24"/>
          <w:szCs w:val="24"/>
        </w:rPr>
        <w:t>11</w:t>
      </w:r>
      <w:r w:rsidR="004146A6">
        <w:rPr>
          <w:rFonts w:ascii="Times New Roman" w:hAnsi="Times New Roman"/>
          <w:sz w:val="24"/>
          <w:szCs w:val="24"/>
        </w:rPr>
        <w:t>.</w:t>
      </w:r>
      <w:r w:rsidR="00E007E5">
        <w:rPr>
          <w:rFonts w:ascii="Times New Roman" w:hAnsi="Times New Roman"/>
          <w:sz w:val="24"/>
          <w:szCs w:val="24"/>
        </w:rPr>
        <w:t>03</w:t>
      </w:r>
      <w:r w:rsidRPr="001B56FE">
        <w:rPr>
          <w:rFonts w:ascii="Times New Roman" w:hAnsi="Times New Roman"/>
          <w:sz w:val="24"/>
          <w:szCs w:val="24"/>
        </w:rPr>
        <w:t>.202</w:t>
      </w:r>
      <w:r w:rsidR="00E007E5">
        <w:rPr>
          <w:rFonts w:ascii="Times New Roman" w:hAnsi="Times New Roman"/>
          <w:sz w:val="24"/>
          <w:szCs w:val="24"/>
        </w:rPr>
        <w:t>4</w:t>
      </w:r>
      <w:r w:rsidRPr="001B56FE">
        <w:rPr>
          <w:rFonts w:ascii="Times New Roman" w:hAnsi="Times New Roman"/>
          <w:sz w:val="24"/>
          <w:szCs w:val="24"/>
        </w:rPr>
        <w:t>. godine</w:t>
      </w:r>
    </w:p>
    <w:p w:rsidR="00D67823" w:rsidRPr="001B56FE" w:rsidRDefault="00D67823" w:rsidP="00D6782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 xml:space="preserve">OPĆINSKI NAČELNIK </w:t>
      </w:r>
    </w:p>
    <w:p w:rsidR="00D67823" w:rsidRPr="001B56FE" w:rsidRDefault="00D67823" w:rsidP="00D6782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56FE">
        <w:rPr>
          <w:rFonts w:ascii="Times New Roman" w:hAnsi="Times New Roman"/>
          <w:b/>
          <w:sz w:val="24"/>
          <w:szCs w:val="24"/>
        </w:rPr>
        <w:t>IVICA KLANAC, dipl.ing.građ.</w:t>
      </w:r>
    </w:p>
    <w:p w:rsidR="008A0774" w:rsidRPr="001B56FE" w:rsidRDefault="00D67823" w:rsidP="00D67823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B56FE">
        <w:rPr>
          <w:rFonts w:ascii="Times New Roman" w:hAnsi="Times New Roman"/>
          <w:sz w:val="24"/>
          <w:szCs w:val="24"/>
        </w:rPr>
        <w:t xml:space="preserve"> </w:t>
      </w:r>
    </w:p>
    <w:p w:rsidR="008A0774" w:rsidRPr="001B56FE" w:rsidRDefault="008A0774" w:rsidP="00BD1EAD">
      <w:pPr>
        <w:rPr>
          <w:sz w:val="24"/>
          <w:szCs w:val="24"/>
        </w:rPr>
      </w:pPr>
      <w:r w:rsidRPr="001B56FE">
        <w:rPr>
          <w:sz w:val="24"/>
          <w:szCs w:val="24"/>
        </w:rPr>
        <w:t xml:space="preserve"> </w:t>
      </w:r>
    </w:p>
    <w:sectPr w:rsidR="008A0774" w:rsidRPr="001B56FE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9D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E85"/>
    <w:multiLevelType w:val="hybridMultilevel"/>
    <w:tmpl w:val="2DA431B4"/>
    <w:lvl w:ilvl="0" w:tplc="6906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6F4C"/>
    <w:multiLevelType w:val="hybridMultilevel"/>
    <w:tmpl w:val="0BAE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A06EF"/>
    <w:multiLevelType w:val="hybridMultilevel"/>
    <w:tmpl w:val="7D76BEAA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27"/>
    <w:rsid w:val="000F5D27"/>
    <w:rsid w:val="001B56FE"/>
    <w:rsid w:val="00233CA1"/>
    <w:rsid w:val="003C6BF8"/>
    <w:rsid w:val="004146A6"/>
    <w:rsid w:val="005B10B3"/>
    <w:rsid w:val="007207CB"/>
    <w:rsid w:val="007905FB"/>
    <w:rsid w:val="008A0774"/>
    <w:rsid w:val="008B73B8"/>
    <w:rsid w:val="009B79BD"/>
    <w:rsid w:val="00AA4DA7"/>
    <w:rsid w:val="00B20F2B"/>
    <w:rsid w:val="00BD1EAD"/>
    <w:rsid w:val="00BF556A"/>
    <w:rsid w:val="00D67823"/>
    <w:rsid w:val="00E007E5"/>
    <w:rsid w:val="00E3290C"/>
    <w:rsid w:val="00F24DF9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1A3E"/>
  <w15:chartTrackingRefBased/>
  <w15:docId w15:val="{3D05667D-4BB6-4F70-A9BD-C274EBC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823"/>
    <w:rPr>
      <w:rFonts w:eastAsiaTheme="minorEastAs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823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D678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D6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6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BD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11</cp:revision>
  <cp:lastPrinted>2023-12-18T07:44:00Z</cp:lastPrinted>
  <dcterms:created xsi:type="dcterms:W3CDTF">2023-09-12T07:10:00Z</dcterms:created>
  <dcterms:modified xsi:type="dcterms:W3CDTF">2024-03-11T07:45:00Z</dcterms:modified>
</cp:coreProperties>
</file>