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B1" w:rsidRPr="00F30134" w:rsidRDefault="00F30134" w:rsidP="00F30134">
      <w:pPr>
        <w:pStyle w:val="Bezproreda"/>
        <w:rPr>
          <w:b/>
        </w:rPr>
      </w:pPr>
      <w:r w:rsidRPr="00F30134">
        <w:rPr>
          <w:b/>
        </w:rPr>
        <w:t>REPUBLIKA HRVATSKA</w:t>
      </w:r>
    </w:p>
    <w:p w:rsidR="00F30134" w:rsidRPr="00F30134" w:rsidRDefault="00F30134" w:rsidP="00F30134">
      <w:pPr>
        <w:pStyle w:val="Bezproreda"/>
        <w:rPr>
          <w:b/>
        </w:rPr>
      </w:pPr>
      <w:r w:rsidRPr="00F30134">
        <w:rPr>
          <w:b/>
        </w:rPr>
        <w:t>OPĆINA POSEDARJE</w:t>
      </w:r>
    </w:p>
    <w:p w:rsidR="00F30134" w:rsidRDefault="00F30134" w:rsidP="00F30134">
      <w:pPr>
        <w:pStyle w:val="Bezproreda"/>
        <w:rPr>
          <w:b/>
        </w:rPr>
      </w:pPr>
      <w:r w:rsidRPr="00F30134">
        <w:rPr>
          <w:b/>
        </w:rPr>
        <w:t xml:space="preserve">ODSJEK ZA </w:t>
      </w:r>
      <w:r w:rsidR="003C463F">
        <w:rPr>
          <w:b/>
        </w:rPr>
        <w:t>PRORAČUN I</w:t>
      </w:r>
      <w:r w:rsidR="00434827">
        <w:rPr>
          <w:b/>
        </w:rPr>
        <w:t xml:space="preserve"> FINANCIJE</w:t>
      </w:r>
    </w:p>
    <w:p w:rsidR="00434827" w:rsidRDefault="00434827" w:rsidP="00F30134">
      <w:pPr>
        <w:pStyle w:val="Bezproreda"/>
        <w:rPr>
          <w:b/>
        </w:rPr>
      </w:pPr>
    </w:p>
    <w:p w:rsidR="00434827" w:rsidRDefault="00434827" w:rsidP="00F30134">
      <w:pPr>
        <w:pStyle w:val="Bezproreda"/>
        <w:rPr>
          <w:b/>
        </w:rPr>
      </w:pPr>
    </w:p>
    <w:p w:rsidR="00434827" w:rsidRDefault="00434827"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r>
        <w:rPr>
          <w:b/>
        </w:rPr>
        <w:t>UPUTE ZA IZRADU PRORAČUNA OPĆINE POSEDARJE</w:t>
      </w:r>
    </w:p>
    <w:p w:rsidR="00F30134" w:rsidRDefault="00E06789" w:rsidP="00F30134">
      <w:pPr>
        <w:pStyle w:val="Bezproreda"/>
        <w:rPr>
          <w:b/>
        </w:rPr>
      </w:pPr>
      <w:r>
        <w:rPr>
          <w:b/>
        </w:rPr>
        <w:t>ZA RAZDOBLJE OD 202</w:t>
      </w:r>
      <w:r w:rsidR="007078ED">
        <w:rPr>
          <w:b/>
        </w:rPr>
        <w:t>2</w:t>
      </w:r>
      <w:r w:rsidR="00F30134">
        <w:rPr>
          <w:b/>
        </w:rPr>
        <w:t xml:space="preserve"> OD 202</w:t>
      </w:r>
      <w:r w:rsidR="007078ED">
        <w:rPr>
          <w:b/>
        </w:rPr>
        <w:t>4</w:t>
      </w:r>
      <w:r w:rsidR="00F30134">
        <w:rPr>
          <w:b/>
        </w:rPr>
        <w:t>.GODINE</w:t>
      </w: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r>
        <w:rPr>
          <w:b/>
        </w:rPr>
        <w:t>Posedarje,</w:t>
      </w:r>
      <w:r w:rsidR="008A275F">
        <w:rPr>
          <w:b/>
        </w:rPr>
        <w:t xml:space="preserve"> </w:t>
      </w:r>
      <w:r w:rsidR="001A750C">
        <w:rPr>
          <w:b/>
        </w:rPr>
        <w:t>rujan 2021.</w:t>
      </w:r>
      <w:r w:rsidR="008A275F">
        <w:rPr>
          <w:b/>
        </w:rPr>
        <w:t>g</w:t>
      </w:r>
      <w:r>
        <w:rPr>
          <w:b/>
        </w:rPr>
        <w:t>.</w:t>
      </w: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434827" w:rsidRDefault="00434827" w:rsidP="00F30134">
      <w:pPr>
        <w:pStyle w:val="Bezproreda"/>
        <w:jc w:val="center"/>
        <w:rPr>
          <w:b/>
        </w:rPr>
      </w:pPr>
    </w:p>
    <w:p w:rsidR="00434827" w:rsidRDefault="00434827" w:rsidP="00F30134">
      <w:pPr>
        <w:pStyle w:val="Bezproreda"/>
        <w:jc w:val="center"/>
        <w:rPr>
          <w:b/>
        </w:rPr>
      </w:pPr>
    </w:p>
    <w:p w:rsidR="00887A00" w:rsidRDefault="00F30134" w:rsidP="00F30134">
      <w:pPr>
        <w:pStyle w:val="Bezproreda"/>
        <w:jc w:val="center"/>
        <w:rPr>
          <w:b/>
        </w:rPr>
      </w:pPr>
      <w:r>
        <w:rPr>
          <w:b/>
        </w:rPr>
        <w:lastRenderedPageBreak/>
        <w:t>UPUTE ZA IZRADU</w:t>
      </w:r>
      <w:r w:rsidR="009A722E">
        <w:rPr>
          <w:b/>
        </w:rPr>
        <w:t xml:space="preserve"> </w:t>
      </w:r>
      <w:r w:rsidR="00887A00">
        <w:rPr>
          <w:b/>
        </w:rPr>
        <w:t xml:space="preserve">PRORAČUNA OPĆINE POSEDARJE I </w:t>
      </w:r>
      <w:r>
        <w:rPr>
          <w:b/>
        </w:rPr>
        <w:t xml:space="preserve"> </w:t>
      </w:r>
    </w:p>
    <w:p w:rsidR="00F30134" w:rsidRDefault="00F30134" w:rsidP="00F30134">
      <w:pPr>
        <w:pStyle w:val="Bezproreda"/>
        <w:jc w:val="center"/>
        <w:rPr>
          <w:b/>
        </w:rPr>
      </w:pPr>
      <w:r>
        <w:rPr>
          <w:b/>
        </w:rPr>
        <w:t>FINANCIJSKIH PLANOVA PRORAČUNSKIH KORISNIKA</w:t>
      </w:r>
    </w:p>
    <w:p w:rsidR="00F30134" w:rsidRDefault="00F30134" w:rsidP="00F30134">
      <w:pPr>
        <w:pStyle w:val="Bezproreda"/>
        <w:jc w:val="center"/>
        <w:rPr>
          <w:b/>
        </w:rPr>
      </w:pPr>
      <w:r>
        <w:rPr>
          <w:b/>
        </w:rPr>
        <w:t>OPĆI</w:t>
      </w:r>
      <w:r w:rsidR="00E06789">
        <w:rPr>
          <w:b/>
        </w:rPr>
        <w:t>NE POSED</w:t>
      </w:r>
      <w:r w:rsidR="00887A00">
        <w:rPr>
          <w:b/>
        </w:rPr>
        <w:t>A</w:t>
      </w:r>
      <w:r w:rsidR="00E06789">
        <w:rPr>
          <w:b/>
        </w:rPr>
        <w:t>RJE ZA RAZDOBLJE OD 202</w:t>
      </w:r>
      <w:r w:rsidR="008A275F">
        <w:rPr>
          <w:b/>
        </w:rPr>
        <w:t>2</w:t>
      </w:r>
      <w:r>
        <w:rPr>
          <w:b/>
        </w:rPr>
        <w:t>-20</w:t>
      </w:r>
      <w:r w:rsidR="00E06789">
        <w:rPr>
          <w:b/>
        </w:rPr>
        <w:t>2</w:t>
      </w:r>
      <w:r w:rsidR="008A275F">
        <w:rPr>
          <w:b/>
        </w:rPr>
        <w:t>4</w:t>
      </w:r>
      <w:r>
        <w:rPr>
          <w:b/>
        </w:rPr>
        <w:t xml:space="preserve"> GODINE</w:t>
      </w:r>
    </w:p>
    <w:p w:rsidR="00F30134" w:rsidRDefault="00F30134" w:rsidP="00F30134">
      <w:pPr>
        <w:pStyle w:val="Bezproreda"/>
        <w:rPr>
          <w:b/>
        </w:rPr>
      </w:pPr>
    </w:p>
    <w:p w:rsidR="00F30134" w:rsidRDefault="00F30134" w:rsidP="00976090">
      <w:pPr>
        <w:pStyle w:val="Bezproreda"/>
        <w:jc w:val="both"/>
      </w:pPr>
      <w:r>
        <w:t>Temeljem članka 27. Zakona o proračunu („Narodne novine“ broj: 87/08, 136/12 i 15/15) dostavljamo vam Upute za izradu Proračuna Općine Posedarje za razdoblje od 20</w:t>
      </w:r>
      <w:r w:rsidR="00E06789">
        <w:t>2</w:t>
      </w:r>
      <w:r w:rsidR="001A750C">
        <w:t>2</w:t>
      </w:r>
      <w:r>
        <w:t>-202</w:t>
      </w:r>
      <w:r w:rsidR="001A750C">
        <w:t>4</w:t>
      </w:r>
      <w:r>
        <w:t xml:space="preserve"> godine.</w:t>
      </w:r>
    </w:p>
    <w:p w:rsidR="00F30134" w:rsidRDefault="00754D29" w:rsidP="00976090">
      <w:pPr>
        <w:pStyle w:val="Bezproreda"/>
        <w:jc w:val="both"/>
      </w:pPr>
      <w:r>
        <w:t xml:space="preserve">Vlada Republike Hrvatske je na sjednici </w:t>
      </w:r>
      <w:r w:rsidR="000B3A11">
        <w:t>29.srpnja  2021</w:t>
      </w:r>
      <w:r>
        <w:t>.g. usvojila Smjernice za izradu Državnog proračuna Republike Hrvatske za 202</w:t>
      </w:r>
      <w:r w:rsidR="000B3A11">
        <w:t>2</w:t>
      </w:r>
      <w:r>
        <w:t>. i projekcija za 202</w:t>
      </w:r>
      <w:r w:rsidR="000B3A11">
        <w:t>3</w:t>
      </w:r>
      <w:r>
        <w:t>. i 202</w:t>
      </w:r>
      <w:r w:rsidR="000B3A11">
        <w:t>4</w:t>
      </w:r>
      <w:r>
        <w:t>. (u daljnjem tekstu: Smjernice). Smjernicama su utvrđeni limiti ukupnih rashoda po razdjelima organizacijske klasifikacije za navedeno trogodišnje razdoblje (za izvore financiranja opći prihodi i primici, doprinosi i namjenski primici)</w:t>
      </w:r>
      <w:r w:rsidR="00F30134">
        <w:t>.</w:t>
      </w:r>
    </w:p>
    <w:p w:rsidR="00AB00B8" w:rsidRDefault="00AB00B8" w:rsidP="00976090">
      <w:pPr>
        <w:pStyle w:val="Bezproreda"/>
        <w:jc w:val="both"/>
        <w:rPr>
          <w:b/>
        </w:rPr>
      </w:pPr>
      <w:r>
        <w:t xml:space="preserve">Odgovorne osobe jedinice lokalne i područne (regionalne)samouprave, proračunskih i ostalih korisnika, u skladu s člankom 13. Zakona o proračunu, </w:t>
      </w:r>
      <w:r w:rsidRPr="00AB00B8">
        <w:rPr>
          <w:b/>
        </w:rPr>
        <w:t>dužne su pristupiti izradi proračuna i financijskih planova, te su odgovorne za zakonito i pravilno planiranje i izvršavanje proračuna, odnosno financijskih planova.</w:t>
      </w:r>
    </w:p>
    <w:p w:rsidR="00AB00B8" w:rsidRPr="00AB00B8" w:rsidRDefault="00AB00B8" w:rsidP="00976090">
      <w:pPr>
        <w:pStyle w:val="Bezproreda"/>
        <w:jc w:val="both"/>
        <w:rPr>
          <w:b/>
        </w:rPr>
      </w:pPr>
    </w:p>
    <w:p w:rsidR="00F30134" w:rsidRDefault="00F30134" w:rsidP="00976090">
      <w:pPr>
        <w:pStyle w:val="Bezproreda"/>
        <w:jc w:val="both"/>
      </w:pPr>
      <w:r>
        <w:t>Na osnovu Smjernica, Ministarstvo financija</w:t>
      </w:r>
      <w:r w:rsidR="00362956">
        <w:t>,Osijek za proračun i financije Općine Posed</w:t>
      </w:r>
      <w:r w:rsidR="00FA54EC">
        <w:t>a</w:t>
      </w:r>
      <w:r w:rsidR="00362956">
        <w:t>rje izrađuje ove Upute z</w:t>
      </w:r>
      <w:r w:rsidR="00FA54EC">
        <w:t>a izradu Proračuna Općine Posedarje za razdoblje od 20</w:t>
      </w:r>
      <w:r w:rsidR="00AB00B8">
        <w:t>2</w:t>
      </w:r>
      <w:r w:rsidR="000B3A11">
        <w:t>2</w:t>
      </w:r>
      <w:r w:rsidR="00FA54EC">
        <w:t xml:space="preserve"> do 202</w:t>
      </w:r>
      <w:r w:rsidR="000B3A11">
        <w:t>4</w:t>
      </w:r>
      <w:r w:rsidR="00FA54EC">
        <w:t>. godine.</w:t>
      </w:r>
      <w:r>
        <w:t xml:space="preserve"> </w:t>
      </w:r>
    </w:p>
    <w:p w:rsidR="00FA54EC" w:rsidRDefault="00FA54EC" w:rsidP="00976090">
      <w:pPr>
        <w:pStyle w:val="Bezproreda"/>
        <w:jc w:val="both"/>
      </w:pPr>
      <w:r>
        <w:t>Ove upute sadrže:</w:t>
      </w:r>
    </w:p>
    <w:p w:rsidR="00FA54EC" w:rsidRDefault="002F61B0" w:rsidP="00976090">
      <w:pPr>
        <w:pStyle w:val="Bezproreda"/>
        <w:numPr>
          <w:ilvl w:val="0"/>
          <w:numId w:val="10"/>
        </w:numPr>
        <w:jc w:val="both"/>
      </w:pPr>
      <w:r>
        <w:t>Temeljna ekonomska ishodišta i pretpostavke za izradu prijedloga proračuna Općine Posedarje</w:t>
      </w:r>
    </w:p>
    <w:p w:rsidR="002F61B0" w:rsidRDefault="002F61B0" w:rsidP="00976090">
      <w:pPr>
        <w:pStyle w:val="Bezproreda"/>
        <w:numPr>
          <w:ilvl w:val="0"/>
          <w:numId w:val="10"/>
        </w:numPr>
        <w:jc w:val="both"/>
      </w:pPr>
      <w:r>
        <w:t>Metodologiju izrade prijedloga proračuna JL(R)S</w:t>
      </w:r>
    </w:p>
    <w:p w:rsidR="002F61B0" w:rsidRDefault="002F61B0" w:rsidP="00976090">
      <w:pPr>
        <w:pStyle w:val="Bezproreda"/>
        <w:numPr>
          <w:ilvl w:val="0"/>
          <w:numId w:val="10"/>
        </w:numPr>
        <w:jc w:val="both"/>
      </w:pPr>
      <w:r>
        <w:t>Metodologiju izrade prijedloga financijskog plana proračunskog korisnika</w:t>
      </w:r>
    </w:p>
    <w:p w:rsidR="002F61B0" w:rsidRDefault="002F61B0" w:rsidP="00976090">
      <w:pPr>
        <w:pStyle w:val="Bezproreda"/>
        <w:numPr>
          <w:ilvl w:val="0"/>
          <w:numId w:val="10"/>
        </w:numPr>
        <w:jc w:val="both"/>
      </w:pPr>
      <w:r>
        <w:t>Visine financijskog plana proračunskog korisnika koji sadrži visinu financijskog plana za prethodnu proračunsku godinu i tekuću proračunsku godinu i za slijedeće dvije godine raspoređen na a) visinu sredstava potrebni za provedbu postojećih programa, odnosno aktivnosti, koje proizlaze iz trenutno važećih propisa i b) visinu sredstava potrebnih za uvođenje i provedbu novih ili promjenu postojećih programa, odnosno aktivnosti</w:t>
      </w:r>
    </w:p>
    <w:p w:rsidR="002F61B0" w:rsidRDefault="002F61B0" w:rsidP="00976090">
      <w:pPr>
        <w:pStyle w:val="Bezproreda"/>
        <w:numPr>
          <w:ilvl w:val="0"/>
          <w:numId w:val="10"/>
        </w:numPr>
        <w:jc w:val="both"/>
      </w:pPr>
      <w:r>
        <w:t>Način pripreme i terminski plan za izradu proračuna i prijedloga financijskog plana proračunskog korisnika Općine Posedarje</w:t>
      </w:r>
    </w:p>
    <w:p w:rsidR="00AB00B8" w:rsidRDefault="00AB00B8" w:rsidP="00AB00B8">
      <w:pPr>
        <w:pStyle w:val="Bezproreda"/>
        <w:jc w:val="both"/>
      </w:pPr>
    </w:p>
    <w:p w:rsidR="00FA54EC" w:rsidRDefault="00FA54EC" w:rsidP="00976090">
      <w:pPr>
        <w:pStyle w:val="Bezproreda"/>
        <w:jc w:val="both"/>
      </w:pPr>
    </w:p>
    <w:p w:rsidR="00F30134" w:rsidRDefault="00F30134" w:rsidP="00976090">
      <w:pPr>
        <w:pStyle w:val="Bezproreda"/>
        <w:numPr>
          <w:ilvl w:val="0"/>
          <w:numId w:val="1"/>
        </w:numPr>
        <w:jc w:val="both"/>
        <w:rPr>
          <w:b/>
        </w:rPr>
      </w:pPr>
      <w:r w:rsidRPr="00E90C6A">
        <w:rPr>
          <w:b/>
        </w:rPr>
        <w:t>TEMELJNA EKONOMSKA ISHODIŠTA I PRETPOSTAVKE ZA IZRADU PRIJEDLOGA PRORAČUNA OPĆINE POSEDARJE</w:t>
      </w:r>
    </w:p>
    <w:p w:rsidR="00F30134" w:rsidRPr="00E90C6A" w:rsidRDefault="00F30134" w:rsidP="00976090">
      <w:pPr>
        <w:pStyle w:val="Bezproreda"/>
        <w:ind w:left="720"/>
        <w:jc w:val="both"/>
        <w:rPr>
          <w:b/>
        </w:rPr>
      </w:pPr>
    </w:p>
    <w:p w:rsidR="00F30134" w:rsidRDefault="00F30134" w:rsidP="00976090">
      <w:pPr>
        <w:pStyle w:val="Bezproreda"/>
        <w:jc w:val="both"/>
      </w:pPr>
      <w:r>
        <w:t>Temeljem Uputa Ministarstva financija, Jedinstveni upravni odjel Općine Posedarje izradio je ove Upute za izradu Proračuna i financijskog plana proračunskog korisnika Općine Posedarje za razdoblje od 20</w:t>
      </w:r>
      <w:r w:rsidR="00E06789">
        <w:t>2</w:t>
      </w:r>
      <w:r w:rsidR="000B3A11">
        <w:t>2</w:t>
      </w:r>
      <w:r>
        <w:t xml:space="preserve"> do 20</w:t>
      </w:r>
      <w:r w:rsidR="00C313A8">
        <w:t>2</w:t>
      </w:r>
      <w:r w:rsidR="000B3A11">
        <w:t>4</w:t>
      </w:r>
      <w:r>
        <w:t xml:space="preserve"> godine.  Osnovni ciljevi proračuna Općine Posedarje u slijedećem trogodišnjem </w:t>
      </w:r>
      <w:r w:rsidR="000B3A11">
        <w:t>r</w:t>
      </w:r>
      <w:r>
        <w:t>azdoblju  usmjereni su na poduzimanje svih mjera i aktivnosti za</w:t>
      </w:r>
      <w:r w:rsidR="00090E2F">
        <w:t xml:space="preserve"> podizanje životnog standarda , a osobito vezano za:</w:t>
      </w:r>
    </w:p>
    <w:p w:rsidR="00090E2F" w:rsidRDefault="00090E2F" w:rsidP="00090E2F">
      <w:pPr>
        <w:pStyle w:val="Bezproreda"/>
        <w:numPr>
          <w:ilvl w:val="0"/>
          <w:numId w:val="10"/>
        </w:numPr>
        <w:jc w:val="both"/>
      </w:pPr>
      <w:r>
        <w:t xml:space="preserve">Jačanje gospodarskog razvitka općine , unaprjeđenje turističkih djelatnosti </w:t>
      </w:r>
    </w:p>
    <w:p w:rsidR="00144DA3" w:rsidRDefault="00090E2F" w:rsidP="00090E2F">
      <w:pPr>
        <w:pStyle w:val="Bezproreda"/>
        <w:numPr>
          <w:ilvl w:val="0"/>
          <w:numId w:val="10"/>
        </w:numPr>
        <w:jc w:val="both"/>
      </w:pPr>
      <w:r>
        <w:t>Unaprjeđenje i održivo korištenje infrastrukture , prostora i resursa, a prioriteti su razvoj infrastrukture, zaštita okoliša, obnova, očuvanje i održivo</w:t>
      </w:r>
      <w:r w:rsidR="00144DA3">
        <w:t xml:space="preserve"> korištenje</w:t>
      </w:r>
      <w:r>
        <w:t xml:space="preserve"> prirodne i </w:t>
      </w:r>
      <w:r w:rsidR="00144DA3">
        <w:t>kulturne baštine</w:t>
      </w:r>
    </w:p>
    <w:p w:rsidR="00F30134" w:rsidRDefault="00144DA3" w:rsidP="0095282B">
      <w:pPr>
        <w:pStyle w:val="Bezproreda"/>
        <w:numPr>
          <w:ilvl w:val="0"/>
          <w:numId w:val="10"/>
        </w:numPr>
        <w:jc w:val="both"/>
      </w:pPr>
      <w:r>
        <w:t>Postizanje kvalitete života i socijalne uključenosti kroz unaprjeđenje dostupnosti i kvalitete društvenih usluga, razvoj civilnog društva te unaprjeđenje socijalnih usluga.</w:t>
      </w:r>
      <w:r w:rsidR="00090E2F">
        <w:t xml:space="preserve"> </w:t>
      </w:r>
    </w:p>
    <w:p w:rsidR="00144DA3" w:rsidRDefault="00144DA3" w:rsidP="0095282B">
      <w:pPr>
        <w:pStyle w:val="Bezproreda"/>
        <w:numPr>
          <w:ilvl w:val="0"/>
          <w:numId w:val="10"/>
        </w:numPr>
        <w:jc w:val="both"/>
      </w:pPr>
    </w:p>
    <w:p w:rsidR="00C313A8" w:rsidRDefault="00C313A8" w:rsidP="00976090">
      <w:pPr>
        <w:pStyle w:val="Bezproreda"/>
        <w:numPr>
          <w:ilvl w:val="0"/>
          <w:numId w:val="1"/>
        </w:numPr>
        <w:jc w:val="both"/>
        <w:rPr>
          <w:b/>
        </w:rPr>
      </w:pPr>
      <w:r>
        <w:rPr>
          <w:b/>
        </w:rPr>
        <w:t>METADOLOGIJA IZRADE PRIJEDLOGA PRORAČUNA JEDINICE LOKALNE (REGIONALNE) SAMOUPRAVE</w:t>
      </w:r>
    </w:p>
    <w:p w:rsidR="00C313A8" w:rsidRDefault="00C313A8" w:rsidP="00976090">
      <w:pPr>
        <w:pStyle w:val="Bezproreda"/>
        <w:jc w:val="both"/>
      </w:pPr>
      <w:r>
        <w:t xml:space="preserve">Metodologija izrade proračuna propisana je Zakonom o proračunu i </w:t>
      </w:r>
      <w:proofErr w:type="spellStart"/>
      <w:r>
        <w:t>podzakonskim</w:t>
      </w:r>
      <w:proofErr w:type="spellEnd"/>
      <w:r>
        <w:t xml:space="preserve"> aktima: Pravilnikom o proračunskim klasifikacijama i Pravilnikom o proračunskom računovodstvu i Računskom planu.</w:t>
      </w:r>
    </w:p>
    <w:p w:rsidR="002E6F95" w:rsidRDefault="002E6F95" w:rsidP="00976090">
      <w:pPr>
        <w:pStyle w:val="Bezproreda"/>
        <w:jc w:val="both"/>
      </w:pPr>
      <w:r>
        <w:t>napominjemo kako je Ministarstvo financija Uputama za izradu proračuna jedinice lokalne i regionalne (područne) samouprave za razdoblje  2020. -2022. dalo upute i primjere:</w:t>
      </w:r>
    </w:p>
    <w:p w:rsidR="002E6F95" w:rsidRDefault="002E6F95" w:rsidP="002E6F95">
      <w:pPr>
        <w:pStyle w:val="Bezproreda"/>
        <w:numPr>
          <w:ilvl w:val="0"/>
          <w:numId w:val="14"/>
        </w:numPr>
        <w:jc w:val="both"/>
      </w:pPr>
      <w:r>
        <w:t xml:space="preserve">uključivanje značajnog manjka kroz izmjene i dopune proračuna jedinice lokalne i regionalne (područne) samouprave, </w:t>
      </w:r>
    </w:p>
    <w:p w:rsidR="002E6F95" w:rsidRDefault="002E6F95" w:rsidP="002E6F95">
      <w:pPr>
        <w:pStyle w:val="Bezproreda"/>
        <w:numPr>
          <w:ilvl w:val="0"/>
          <w:numId w:val="14"/>
        </w:numPr>
        <w:jc w:val="both"/>
      </w:pPr>
      <w:r>
        <w:lastRenderedPageBreak/>
        <w:t>uključivanje višegodišnjeg kapitalnog projekta koji se financira zaduživanjem u izmjene i dopune proračuna</w:t>
      </w:r>
    </w:p>
    <w:p w:rsidR="002E6F95" w:rsidRDefault="002E6F95" w:rsidP="002E6F95">
      <w:pPr>
        <w:pStyle w:val="Bezproreda"/>
        <w:numPr>
          <w:ilvl w:val="0"/>
          <w:numId w:val="14"/>
        </w:numPr>
        <w:jc w:val="both"/>
      </w:pPr>
      <w:r>
        <w:t xml:space="preserve">planiranje višegodišnjeg EU projekta za koji treba osigurati </w:t>
      </w:r>
      <w:proofErr w:type="spellStart"/>
      <w:r>
        <w:t>predfinanciranje</w:t>
      </w:r>
      <w:proofErr w:type="spellEnd"/>
      <w:r>
        <w:t xml:space="preserve"> iz općih ili namjenskih prihoda i primitaka ili vlastitim prihodima jedinice lokalne i područne (regionalne) samouprave i</w:t>
      </w:r>
    </w:p>
    <w:p w:rsidR="002E6F95" w:rsidRDefault="002E6F95" w:rsidP="002E6F95">
      <w:pPr>
        <w:pStyle w:val="Bezproreda"/>
        <w:numPr>
          <w:ilvl w:val="0"/>
          <w:numId w:val="14"/>
        </w:numPr>
        <w:jc w:val="both"/>
      </w:pPr>
      <w:r>
        <w:t>uključivanje svih prihoda i primitaka te rashoda i izdataka škola u proračun nadležne jedinice lokalne i područne (regionalne) samouprave (pomoći iz državnog proračuna te plaće i druge rashode za zaposlene).</w:t>
      </w:r>
    </w:p>
    <w:p w:rsidR="0096693A" w:rsidRDefault="0096693A" w:rsidP="00290627">
      <w:pPr>
        <w:pStyle w:val="Bezproreda"/>
        <w:ind w:left="720"/>
        <w:jc w:val="both"/>
      </w:pPr>
      <w:r>
        <w:t>Kod izrade proračuna jedinice lokalne i područne (regionalne) samouprave trebaju voditi računa o njegovom izvršavanju i odredbama Pravilnika o polugodišnjem i godišnjem izvještaju o izvršenju proračuna („Narodne novine“ br: 24/13 i 102/17). Posebno treba obratiti pažnju na izmjene i dopune Pravilnika o polugodišnjem i godišnjem i</w:t>
      </w:r>
      <w:r w:rsidR="00BF6FEF">
        <w:t>z</w:t>
      </w:r>
      <w:r>
        <w:t>vještaju o izvršenju proračuna („Narodne novine“ br:102/17) koje su stupile na snagu u mjesecu listopadu 2017.</w:t>
      </w:r>
      <w:r w:rsidR="00BF6FEF">
        <w:t xml:space="preserve"> </w:t>
      </w:r>
      <w:r>
        <w:t>godine.</w:t>
      </w:r>
      <w:r w:rsidR="00BF6FEF">
        <w:t xml:space="preserve"> Stoga je preporuka Ministarstva financija da se  pri izradi proračuna za 20</w:t>
      </w:r>
      <w:r w:rsidR="00144DA3">
        <w:t>2</w:t>
      </w:r>
      <w:r w:rsidR="000B3A11">
        <w:t>2</w:t>
      </w:r>
      <w:r w:rsidR="00BF6FEF">
        <w:t xml:space="preserve">. </w:t>
      </w:r>
      <w:r w:rsidR="00C069E5">
        <w:t>g</w:t>
      </w:r>
      <w:r w:rsidR="00BF6FEF">
        <w:t>odinu uzmu u obzir odredbe navedenom Pravilnika te da se Račun prihoda i rashoda, ne samo posebni nego i opći dio proračuna, iskazuje sukladno navedenim izmjenama i dopunama Pravilnika o polugodišnjem i godišnjem izvještaju o izvršenju proračuna te sukladno odredbama Pravilnika o proračunskim klasifikacijama.</w:t>
      </w:r>
    </w:p>
    <w:p w:rsidR="00BF6FEF" w:rsidRDefault="00BF6FEF" w:rsidP="00976090">
      <w:pPr>
        <w:pStyle w:val="Bezproreda"/>
        <w:jc w:val="both"/>
      </w:pPr>
    </w:p>
    <w:p w:rsidR="00BF6FEF" w:rsidRDefault="00BF6FEF" w:rsidP="00976090">
      <w:pPr>
        <w:pStyle w:val="Bezproreda"/>
        <w:jc w:val="both"/>
      </w:pPr>
    </w:p>
    <w:p w:rsidR="0028462F" w:rsidRDefault="001A0833" w:rsidP="00976090">
      <w:pPr>
        <w:pStyle w:val="Bezproreda"/>
        <w:jc w:val="both"/>
      </w:pPr>
      <w:r>
        <w:t>Uključivanja svih prihoda i primitaka, rashoda i izdataka proračunskih korisnika u proračune jedinice lokalne samouprave, sukladno ekonomskoj, programskoj, funkcijskoj, organizacijskoj, lokacijskoj klasifikaciji te izvorima financiranja je postalo obvezno od 2016. godine.</w:t>
      </w:r>
      <w:r w:rsidR="00607DDB">
        <w:t xml:space="preserve"> </w:t>
      </w:r>
      <w:r w:rsidR="0028462F">
        <w:t>Svi vlastiti i namjenski prihodi proračunskog korisnika su dio općinskog proračuna, ali nisu dio novčanog tijeka općinskog proračuna.</w:t>
      </w:r>
    </w:p>
    <w:p w:rsidR="0028462F" w:rsidRDefault="0028462F" w:rsidP="00976090">
      <w:pPr>
        <w:pStyle w:val="Bezproreda"/>
        <w:jc w:val="both"/>
      </w:pPr>
      <w:r>
        <w:t>Odlukom o izvršavanju proračuna Općine Posedarje propisano je izuzeće od obveze uplate namjenskih i vlastitih prihoda korisnika u proračun Općine. Iz navedenog proizlazi obveza uključivanja svih prihoda i primitaka, rashoda i izdataka proračunskog korisnika u proračun jedinice lokalne i područne (regionalne) samouprave, sukladno ekonomskoj, programskoj, funkcijskoj, organizacijskoj, lokacijskoj klasifikaciji i izvorima financiranja.</w:t>
      </w:r>
    </w:p>
    <w:p w:rsidR="0028462F" w:rsidRPr="006F3A5B" w:rsidRDefault="0028462F" w:rsidP="00976090">
      <w:pPr>
        <w:pStyle w:val="Bezproreda"/>
        <w:jc w:val="both"/>
        <w:rPr>
          <w:b/>
        </w:rPr>
      </w:pPr>
      <w:r w:rsidRPr="006F3A5B">
        <w:rPr>
          <w:b/>
        </w:rPr>
        <w:t>To konkretno znači da ako jedinica lokalne i područne (regionalne) samouprave odlukom o izvršavanju proračuna propiše izuzeće od obveze uplate vlastitih i namjenskih prihoda i primitaka korisnika u proračun, moraju osigurati izvještajno praćenje ostvarivanja vlastiti</w:t>
      </w:r>
      <w:r w:rsidR="006F3A5B" w:rsidRPr="006F3A5B">
        <w:rPr>
          <w:b/>
        </w:rPr>
        <w:t>h i namjenskih prihoda i primitaka, kao i njihovo trošenje.</w:t>
      </w:r>
      <w:r w:rsidR="006F3A5B">
        <w:rPr>
          <w:b/>
        </w:rPr>
        <w:t xml:space="preserve"> </w:t>
      </w:r>
      <w:r w:rsidR="006F3A5B" w:rsidRPr="006F3A5B">
        <w:rPr>
          <w:b/>
        </w:rPr>
        <w:t>Ovi podaci moraju biti uključeni u polugodišnji i godišnji izvještaj o izvršenju proračuna jedinice lokalne i područne (regionalne) samouprave.</w:t>
      </w:r>
    </w:p>
    <w:p w:rsidR="0028462F" w:rsidRDefault="006F3A5B" w:rsidP="006F3A5B">
      <w:pPr>
        <w:pStyle w:val="Bezproreda"/>
        <w:tabs>
          <w:tab w:val="left" w:pos="8295"/>
        </w:tabs>
        <w:jc w:val="both"/>
      </w:pPr>
      <w:r>
        <w:tab/>
      </w:r>
    </w:p>
    <w:p w:rsidR="006F3A5B" w:rsidRDefault="006F3A5B" w:rsidP="006F3A5B">
      <w:pPr>
        <w:pStyle w:val="Bezproreda"/>
        <w:tabs>
          <w:tab w:val="left" w:pos="8295"/>
        </w:tabs>
        <w:jc w:val="both"/>
      </w:pPr>
    </w:p>
    <w:p w:rsidR="001A0833" w:rsidRDefault="00607DDB" w:rsidP="00976090">
      <w:pPr>
        <w:pStyle w:val="Bezproreda"/>
        <w:jc w:val="both"/>
      </w:pPr>
      <w:r>
        <w:t xml:space="preserve">Uputama za izradu proračuna jedinice lokalne i područne (regionalne) samouprave za razdoblje od 2018. </w:t>
      </w:r>
      <w:r w:rsidR="000B3A11">
        <w:t>d</w:t>
      </w:r>
      <w:r>
        <w:t xml:space="preserve">o 2020. Godine obrazloženi su načini i mogućnosti sukcesivnog i višegodišnjeg pokrića manjka iz prethodnih godina, kao i korištenje kumuliranog viška u proračunu jedinice lokalne i područne (regionalne) samouprave. istih se potrebno pridržavati i kod izrade proračuna jedinice lokalne i područne (regionalne)samouprave za razdoblje </w:t>
      </w:r>
      <w:r w:rsidR="00144DA3">
        <w:t>202</w:t>
      </w:r>
      <w:r w:rsidR="000B3A11">
        <w:t>2</w:t>
      </w:r>
      <w:r>
        <w:t xml:space="preserve"> -202</w:t>
      </w:r>
      <w:r w:rsidR="000B3A11">
        <w:t>4</w:t>
      </w:r>
      <w:r>
        <w:t>.</w:t>
      </w:r>
    </w:p>
    <w:p w:rsidR="0028462F" w:rsidRDefault="0028462F" w:rsidP="00976090">
      <w:pPr>
        <w:pStyle w:val="Bezproreda"/>
        <w:jc w:val="both"/>
      </w:pPr>
    </w:p>
    <w:p w:rsidR="00D04937" w:rsidRDefault="00D04937" w:rsidP="00976090">
      <w:pPr>
        <w:pStyle w:val="Bezproreda"/>
        <w:jc w:val="both"/>
      </w:pPr>
    </w:p>
    <w:p w:rsidR="00D04937" w:rsidRDefault="00D04937" w:rsidP="00F30134">
      <w:pPr>
        <w:pStyle w:val="Bezproreda"/>
      </w:pPr>
    </w:p>
    <w:p w:rsidR="001A0833" w:rsidRDefault="001A0833" w:rsidP="00976090">
      <w:pPr>
        <w:pStyle w:val="Bezproreda"/>
        <w:jc w:val="both"/>
      </w:pPr>
      <w:r>
        <w:t>Predstavničko tijelo jedinice lokalne i područne (regionalne) samouprave donosi proračun jedinice lokalne i područne (regionalne) samouprave za 20</w:t>
      </w:r>
      <w:r w:rsidR="00E06789">
        <w:t>2</w:t>
      </w:r>
      <w:r w:rsidR="000B3A11">
        <w:t>2</w:t>
      </w:r>
      <w:r>
        <w:t xml:space="preserve">. </w:t>
      </w:r>
      <w:r w:rsidR="00607DDB">
        <w:t>g</w:t>
      </w:r>
      <w:r>
        <w:t>odinu na razini podskupine (treća razina računskog plana) a projekcije za 20</w:t>
      </w:r>
      <w:r w:rsidR="00607DDB">
        <w:t>2</w:t>
      </w:r>
      <w:r w:rsidR="000B3A11">
        <w:t>3</w:t>
      </w:r>
      <w:r>
        <w:t>. I 202</w:t>
      </w:r>
      <w:r w:rsidR="000B3A11">
        <w:t>4</w:t>
      </w:r>
      <w:r>
        <w:t xml:space="preserve">. </w:t>
      </w:r>
      <w:r w:rsidR="00607DDB">
        <w:t>g</w:t>
      </w:r>
      <w:r>
        <w:t>odinu donose se na razini skupine (druga razina računskog plana).</w:t>
      </w:r>
    </w:p>
    <w:p w:rsidR="00607DDB" w:rsidRDefault="00607DDB" w:rsidP="00976090">
      <w:pPr>
        <w:pStyle w:val="Bezproreda"/>
        <w:jc w:val="both"/>
      </w:pPr>
    </w:p>
    <w:p w:rsidR="003A347E" w:rsidRDefault="003A347E" w:rsidP="00976090">
      <w:pPr>
        <w:pStyle w:val="Bezproreda"/>
        <w:jc w:val="both"/>
        <w:rPr>
          <w:b/>
        </w:rPr>
      </w:pPr>
    </w:p>
    <w:p w:rsidR="003A347E" w:rsidRDefault="003A347E" w:rsidP="00976090">
      <w:pPr>
        <w:pStyle w:val="Bezproreda"/>
        <w:jc w:val="both"/>
        <w:rPr>
          <w:b/>
        </w:rPr>
      </w:pPr>
    </w:p>
    <w:p w:rsidR="003A347E" w:rsidRDefault="003A347E" w:rsidP="00976090">
      <w:pPr>
        <w:pStyle w:val="Bezproreda"/>
        <w:jc w:val="both"/>
        <w:rPr>
          <w:b/>
        </w:rPr>
      </w:pPr>
    </w:p>
    <w:p w:rsidR="00607DDB" w:rsidRDefault="00607DDB" w:rsidP="00976090">
      <w:pPr>
        <w:pStyle w:val="Bezproreda"/>
        <w:jc w:val="both"/>
        <w:rPr>
          <w:b/>
        </w:rPr>
      </w:pPr>
      <w:r w:rsidRPr="00607DDB">
        <w:rPr>
          <w:b/>
        </w:rPr>
        <w:lastRenderedPageBreak/>
        <w:t>2.1.</w:t>
      </w:r>
      <w:r w:rsidR="00513370">
        <w:rPr>
          <w:b/>
        </w:rPr>
        <w:t xml:space="preserve"> </w:t>
      </w:r>
      <w:r>
        <w:rPr>
          <w:b/>
        </w:rPr>
        <w:t>Primjena ekonomske klasifikacije</w:t>
      </w:r>
    </w:p>
    <w:p w:rsidR="003A347E" w:rsidRDefault="003A347E" w:rsidP="00976090">
      <w:pPr>
        <w:pStyle w:val="Bezproreda"/>
        <w:jc w:val="both"/>
        <w:rPr>
          <w:b/>
        </w:rPr>
      </w:pPr>
      <w:r>
        <w:rPr>
          <w:b/>
        </w:rPr>
        <w:t>2.1.1 Planiranje prihoda od poreza  i prireza na dohodak</w:t>
      </w:r>
    </w:p>
    <w:p w:rsidR="003A347E" w:rsidRDefault="003A347E" w:rsidP="00976090">
      <w:pPr>
        <w:pStyle w:val="Bezproreda"/>
        <w:jc w:val="both"/>
        <w:rPr>
          <w:b/>
        </w:rPr>
      </w:pPr>
    </w:p>
    <w:p w:rsidR="00290627" w:rsidRDefault="00290627" w:rsidP="00976090">
      <w:pPr>
        <w:pStyle w:val="Bezproreda"/>
        <w:jc w:val="both"/>
      </w:pPr>
      <w:r w:rsidRPr="00290627">
        <w:t>Jedinice lokalne i područne (regionalne) samouprave priho</w:t>
      </w:r>
      <w:r>
        <w:t xml:space="preserve">de od poreza na dohodak i prireza </w:t>
      </w:r>
      <w:r w:rsidR="00C21389">
        <w:t>porezu na dohodak evidentiraju temeljem izvještaja po vrstama poreza i prireza na dohodak (P-2/1) koju im dostavlja Fina, a u kojima je dan pregled prometa po brojčanim oznakama vrste  prihoda do visine rasporeda i izvještajnom razdoblju (kumulativ od 01.01. do zadnjeg dana u mjesecu tog razdoblja).</w:t>
      </w:r>
    </w:p>
    <w:p w:rsidR="00C21389" w:rsidRDefault="00C21389" w:rsidP="00976090">
      <w:pPr>
        <w:pStyle w:val="Bezproreda"/>
        <w:jc w:val="both"/>
      </w:pPr>
      <w:r>
        <w:t>Osim navedenog izvještaja, u svrhu evidentiranja poreza i prireza na dohodak Fina jedinicama dostavlja i Specifikaciju prihoda-dodatak s obzirom na to da u Izvještaju P-2/1 nisu prikazani podaci o iznosima uplata i isplata prihoda 1</w:t>
      </w:r>
      <w:r w:rsidR="00C169D3">
        <w:t>6</w:t>
      </w:r>
      <w:r>
        <w:t xml:space="preserve">19 Porez i prirez dna dohodak po godišnjoj prijavi, dok na vrsti prihoda 1406 Predujam poreza i prireza na dohodak od nesamostalnog rada nije iskazan podatak o namirenju negativnog stanja iz državnog proračuna.  Naime, porez i prirez naplaćuje se na zajedničke račune vrste „17“ koji su otvoreni za svaku pojedinu općinu i grad. S tih računa Fina, sukladno Naputku o načinu uplaćivanja prihoda proračuna, obveznih doprinosa te prihoda za financiranje drugih javnih potreba, raspoređuje naplaćena sredstva na redovne račune županija i općina odnosno gradova, provodi </w:t>
      </w:r>
      <w:proofErr w:type="spellStart"/>
      <w:r>
        <w:t>preknjiženja</w:t>
      </w:r>
      <w:proofErr w:type="spellEnd"/>
      <w:r>
        <w:t xml:space="preserve"> povrata pogrešnih odnosno većih uplata te povrate po godišnjim obračunima p</w:t>
      </w:r>
      <w:r w:rsidR="0054753A">
        <w:t>oreza</w:t>
      </w:r>
      <w:r>
        <w:t xml:space="preserve"> na dohodak temeljem naloga Porezne uprave. Ako na računu nema dovoljno sredstava za povrat, razlika se namiruje iz državnog proračuna.</w:t>
      </w:r>
    </w:p>
    <w:p w:rsidR="0054753A" w:rsidRDefault="0054753A" w:rsidP="00976090">
      <w:pPr>
        <w:pStyle w:val="Bezproreda"/>
        <w:jc w:val="both"/>
      </w:pPr>
      <w:r>
        <w:t>Uzimajući u obzir složenost izvještaja Fine i na poteškoće na koje jedinice lokalne i područne (regionalne) samouprave nailaze kod tumačenja izvještaja te njihovog knjigovodstvenog evidentiranja, Ministarstvo financija je pripremilo Upute za evidentiranje prihoda od poreza i prireza na dohodak. Uputa je objavljena na internetskim stranicama Ministarstva financija.</w:t>
      </w:r>
    </w:p>
    <w:p w:rsidR="0054753A" w:rsidRPr="00753D39" w:rsidRDefault="0054753A" w:rsidP="00976090">
      <w:pPr>
        <w:pStyle w:val="Bezproreda"/>
        <w:jc w:val="both"/>
        <w:rPr>
          <w:b/>
        </w:rPr>
      </w:pPr>
      <w:r w:rsidRPr="00753D39">
        <w:rPr>
          <w:b/>
        </w:rPr>
        <w:t>Iznos koji je za povrat poreza i prireza namiren iz državnog proračuna, a koje je iskazan u Specifikaciji prihoda-dodatak, ne može se evidentirati kao prihod od poreza na dohodak, nego kao obveza na računu 26711 Obveza za za</w:t>
      </w:r>
      <w:r w:rsidR="00753D39" w:rsidRPr="00753D39">
        <w:rPr>
          <w:b/>
        </w:rPr>
        <w:t>jmove od državnog proračuna-kratkoročne.</w:t>
      </w:r>
    </w:p>
    <w:p w:rsidR="00753D39" w:rsidRDefault="00753D39" w:rsidP="00976090">
      <w:pPr>
        <w:pStyle w:val="Bezproreda"/>
        <w:jc w:val="both"/>
        <w:rPr>
          <w:b/>
        </w:rPr>
      </w:pPr>
    </w:p>
    <w:p w:rsidR="00753D39" w:rsidRDefault="00753D39" w:rsidP="00976090">
      <w:pPr>
        <w:pStyle w:val="Bezproreda"/>
        <w:jc w:val="both"/>
      </w:pPr>
      <w:r w:rsidRPr="003A347E">
        <w:t>Iznos obveza za koji se predviđa da neće biti vraćen u državni proračun do kraja tekuće godine treba u 2021. godini iskazati na računu 84711 Primljeni zajmovi od državnog proračuna –kratkoročni, a u 2022. godini kad se očekuje vraćanje toga iznosa na računu 54711 Otplata glavnice primljenih zajmova od državnog proračuna-kratkoročnih. Navedeno znači da taj iznos u eventualnim izmjenama i dopunam</w:t>
      </w:r>
      <w:r w:rsidR="009F7BED" w:rsidRPr="003A347E">
        <w:t>a proračuna za 2021. godinu jed</w:t>
      </w:r>
      <w:r w:rsidR="003A347E" w:rsidRPr="003A347E">
        <w:t>i</w:t>
      </w:r>
      <w:r w:rsidR="009F7BED" w:rsidRPr="003A347E">
        <w:t xml:space="preserve">nica treba planirati na podskupini 847 Primljeni zajmovi od </w:t>
      </w:r>
      <w:r w:rsidR="003A347E" w:rsidRPr="003A347E">
        <w:t xml:space="preserve">drugih razina vlasti, a u 2022. na podskupini 547 Otplata glavnice primljenih zajmova od drugih razina vlasti. Na podskupini </w:t>
      </w:r>
      <w:r w:rsidR="003A347E">
        <w:t>547 planira se i povrat zajma isplaćenog jedinicama na ime povrata poreza na dohodak temeljem utvrđenog godišnjeg obračuna za 2019. godinu u 2020. godini.</w:t>
      </w:r>
    </w:p>
    <w:p w:rsidR="003A347E" w:rsidRDefault="003A347E" w:rsidP="00976090">
      <w:pPr>
        <w:pStyle w:val="Bezproreda"/>
        <w:jc w:val="both"/>
      </w:pPr>
    </w:p>
    <w:p w:rsidR="003A347E" w:rsidRDefault="003A347E" w:rsidP="00976090">
      <w:pPr>
        <w:pStyle w:val="Bezproreda"/>
        <w:jc w:val="both"/>
        <w:rPr>
          <w:b/>
        </w:rPr>
      </w:pPr>
      <w:r w:rsidRPr="003A347E">
        <w:rPr>
          <w:b/>
        </w:rPr>
        <w:t>2.1.2. Planiranje protestiranih jamstava</w:t>
      </w:r>
    </w:p>
    <w:p w:rsidR="003A347E" w:rsidRDefault="003A347E" w:rsidP="00976090">
      <w:pPr>
        <w:pStyle w:val="Bezproreda"/>
        <w:jc w:val="both"/>
        <w:rPr>
          <w:b/>
        </w:rPr>
      </w:pPr>
    </w:p>
    <w:p w:rsidR="003A347E" w:rsidRDefault="003A347E" w:rsidP="00976090">
      <w:pPr>
        <w:pStyle w:val="Bezproreda"/>
        <w:jc w:val="both"/>
      </w:pPr>
      <w:r>
        <w:t>Jamstvo je instrument osiguranja kojim davatelj jamstva jamči za ispunjenje obveza za koje se daje jamstvo. Prema ugovorima o izdavanju jamstva koji se sklapaju s tražiteljima jamstva, ukoliko dođe do plaćanja po jamstvu iz sredstava proračuna, tako isplaćeni iznos smatra se dospjelim potraživanjem, a tražitelj jamstva je obvezan odmah nakon izvršenog plaćanja vratiti sredstva u proračun, uvećano za zakonsku zateznu kamatu i pripadajuće troškove.</w:t>
      </w:r>
    </w:p>
    <w:p w:rsidR="003A347E" w:rsidRDefault="003A347E" w:rsidP="00976090">
      <w:pPr>
        <w:pStyle w:val="Bezproreda"/>
        <w:jc w:val="both"/>
      </w:pPr>
      <w:r>
        <w:t xml:space="preserve">Sukladno odredbama Zakona o proračunu jedinica područne (regionalne) samouprave može dati jamstvo </w:t>
      </w:r>
      <w:r w:rsidR="00511E6C">
        <w:t xml:space="preserve">jedinici lokalne samouprave na svojem području uz suglasnost Vlade. </w:t>
      </w:r>
    </w:p>
    <w:p w:rsidR="00511E6C" w:rsidRDefault="00511E6C" w:rsidP="00976090">
      <w:pPr>
        <w:pStyle w:val="Bezproreda"/>
        <w:jc w:val="both"/>
      </w:pPr>
      <w:r>
        <w:t>Jedinica lokalne i područne (regionalne) samouprave može dati jamstvo pravnoj osobi u svom većinskom izravnom ili neizravnom vlasništvu i ustanovi čiji je osnivač, za ispunjenje obveza pravne osobe ili ustanove. Pod pojmom obveza podrazumijevaju se obveze nastale dugoročnim zaduživanjem za investiciju. Sukladno odredbama Pravilnika  o postupku zaduživanja te davanja jamstva i suglasnosti jedinica lokalne i područne (regionalne) samouprave („Narodne novine“ broj: 55/09 i 139/10) pod investicijama podrazumijevaju se rashodi za nabavu nefinancijske imovine (osim prijevoznih sredstava u cestovnom prometu-osobnog automobila.)</w:t>
      </w:r>
    </w:p>
    <w:p w:rsidR="00607DDB" w:rsidRDefault="00607DDB" w:rsidP="00976090">
      <w:pPr>
        <w:pStyle w:val="Bezproreda"/>
        <w:jc w:val="both"/>
        <w:rPr>
          <w:b/>
        </w:rPr>
      </w:pPr>
    </w:p>
    <w:p w:rsidR="00511E6C" w:rsidRDefault="00511E6C" w:rsidP="00976090">
      <w:pPr>
        <w:pStyle w:val="Bezproreda"/>
        <w:jc w:val="both"/>
      </w:pPr>
      <w:r w:rsidRPr="00511E6C">
        <w:lastRenderedPageBreak/>
        <w:t>Od 2021. godine plaćanja na temelju protestiranih jamstava klasificiraju se kao rashod, a ne kao izdatak, a sukladno tome, povrat po plaćenim jamstvima klasificiraju se kao prihod.</w:t>
      </w:r>
    </w:p>
    <w:p w:rsidR="00511E6C" w:rsidRDefault="00511E6C" w:rsidP="00976090">
      <w:pPr>
        <w:pStyle w:val="Bezproreda"/>
        <w:jc w:val="both"/>
      </w:pPr>
      <w:r>
        <w:t>Jedinice koje su davatelji jamstava dužne su procijeniti rizik koji može nastati u slučaju da korisnici zajmova, za koje će biti izdana jamstva, neće biti u mogućnosti izvršavati svoje obveze, te na temelju toga, a radi osiguranja plaćanja po</w:t>
      </w:r>
      <w:r w:rsidR="00F90077">
        <w:t>t</w:t>
      </w:r>
      <w:r>
        <w:t>encijalnih obveza koje mogu nastati temeljem izdanih jamstava, planirati sredstva u okviru proračuna.</w:t>
      </w:r>
    </w:p>
    <w:p w:rsidR="00F90077" w:rsidRDefault="00F90077" w:rsidP="00976090">
      <w:pPr>
        <w:pStyle w:val="Bezproreda"/>
        <w:jc w:val="both"/>
      </w:pPr>
      <w:r>
        <w:t>Jedinice lokalne i područne (regionalne) samouprave u proračunu za 2022.-2024. očekivana plaćanja po protestiranim jamstvima, ovisno o krajnjem korisniku jamstva, t</w:t>
      </w:r>
      <w:r w:rsidR="00052FF2">
        <w:t>r</w:t>
      </w:r>
      <w:r>
        <w:t>ebaju planirati na računima razreda 3 :</w:t>
      </w:r>
    </w:p>
    <w:p w:rsidR="00F90077" w:rsidRDefault="00F90077" w:rsidP="00F90077">
      <w:pPr>
        <w:pStyle w:val="Bezproreda"/>
        <w:numPr>
          <w:ilvl w:val="0"/>
          <w:numId w:val="10"/>
        </w:numPr>
        <w:jc w:val="both"/>
      </w:pPr>
      <w:r>
        <w:t>363 Pomoći unutar općeg proračuna (planira županija ako je korisnik grad ili općina),</w:t>
      </w:r>
    </w:p>
    <w:p w:rsidR="00F90077" w:rsidRDefault="00F90077" w:rsidP="00F90077">
      <w:pPr>
        <w:pStyle w:val="Bezproreda"/>
        <w:numPr>
          <w:ilvl w:val="0"/>
          <w:numId w:val="10"/>
        </w:numPr>
        <w:jc w:val="both"/>
      </w:pPr>
      <w:r>
        <w:t>382 Kapitalne donacije (planira županija, grad  općina ako je korisnik ustanova, neprofitna organizacija čiji je osnivač)</w:t>
      </w:r>
    </w:p>
    <w:p w:rsidR="00F90077" w:rsidRDefault="00F90077" w:rsidP="00F90077">
      <w:pPr>
        <w:pStyle w:val="Bezproreda"/>
        <w:numPr>
          <w:ilvl w:val="0"/>
          <w:numId w:val="10"/>
        </w:numPr>
        <w:jc w:val="both"/>
      </w:pPr>
      <w:r>
        <w:t>386 Kapitalne pomoći (planira županija, grad, općina ako je korisnik pravna o</w:t>
      </w:r>
      <w:r w:rsidR="00052FF2">
        <w:t>s</w:t>
      </w:r>
      <w:r>
        <w:t>oba u većinskom izravnom ili neizravnom vlasništvu jedinice).</w:t>
      </w:r>
    </w:p>
    <w:p w:rsidR="00F90077" w:rsidRDefault="00F90077" w:rsidP="00F90077">
      <w:pPr>
        <w:pStyle w:val="Bezproreda"/>
        <w:ind w:left="360"/>
        <w:jc w:val="both"/>
      </w:pPr>
      <w:r>
        <w:t>Slijedom navedenom, očekivane povrate po plaćenim protestiranim jamstvima potrebno je planirati na odgov</w:t>
      </w:r>
      <w:r w:rsidR="00052FF2">
        <w:t>arajući,</w:t>
      </w:r>
      <w:r>
        <w:t xml:space="preserve"> računima razreda 6:</w:t>
      </w:r>
    </w:p>
    <w:p w:rsidR="00052FF2" w:rsidRDefault="00052FF2" w:rsidP="00052FF2">
      <w:pPr>
        <w:pStyle w:val="Bezproreda"/>
        <w:numPr>
          <w:ilvl w:val="0"/>
          <w:numId w:val="10"/>
        </w:numPr>
        <w:jc w:val="both"/>
      </w:pPr>
      <w:r>
        <w:t>637 Pomoći unutar općeg proračuna temeljem protestiranih jamstava</w:t>
      </w:r>
    </w:p>
    <w:p w:rsidR="00052FF2" w:rsidRDefault="00052FF2" w:rsidP="00052FF2">
      <w:pPr>
        <w:pStyle w:val="Bezproreda"/>
        <w:numPr>
          <w:ilvl w:val="0"/>
          <w:numId w:val="10"/>
        </w:numPr>
        <w:jc w:val="both"/>
      </w:pPr>
      <w:r>
        <w:t>663 Donacije od pravnih i fizičkih osoba izvan općeg proračuna i povrata donacija po protestiranim jamstvima.</w:t>
      </w:r>
    </w:p>
    <w:p w:rsidR="00052FF2" w:rsidRDefault="00052FF2" w:rsidP="00052FF2">
      <w:pPr>
        <w:pStyle w:val="Bezproreda"/>
        <w:jc w:val="both"/>
      </w:pPr>
    </w:p>
    <w:p w:rsidR="00052FF2" w:rsidRDefault="00052FF2" w:rsidP="00052FF2">
      <w:pPr>
        <w:pStyle w:val="Bezproreda"/>
        <w:jc w:val="both"/>
        <w:rPr>
          <w:b/>
        </w:rPr>
      </w:pPr>
      <w:r w:rsidRPr="00052FF2">
        <w:rPr>
          <w:b/>
        </w:rPr>
        <w:t>2.1.3 Planiranje i evidentiranje beskamatnog zajma</w:t>
      </w:r>
    </w:p>
    <w:p w:rsidR="00052FF2" w:rsidRDefault="00052FF2" w:rsidP="00052FF2">
      <w:pPr>
        <w:pStyle w:val="Bezproreda"/>
        <w:jc w:val="both"/>
        <w:rPr>
          <w:b/>
        </w:rPr>
      </w:pPr>
    </w:p>
    <w:p w:rsidR="00052FF2" w:rsidRDefault="00052FF2" w:rsidP="00052FF2">
      <w:pPr>
        <w:pStyle w:val="Bezproreda"/>
        <w:jc w:val="both"/>
      </w:pPr>
      <w:r>
        <w:t>J</w:t>
      </w:r>
      <w:r w:rsidRPr="00052FF2">
        <w:t>edinice lokalne i područne (regionalne)</w:t>
      </w:r>
      <w:r>
        <w:t xml:space="preserve"> mogle su tijekom 2020. godine iz državnog proračuna dobiti beskamatni zajam sukladno dva naputka:</w:t>
      </w:r>
    </w:p>
    <w:p w:rsidR="00052FF2" w:rsidRDefault="00052FF2" w:rsidP="00052FF2">
      <w:pPr>
        <w:pStyle w:val="Bezproreda"/>
        <w:numPr>
          <w:ilvl w:val="0"/>
          <w:numId w:val="10"/>
        </w:numPr>
        <w:jc w:val="both"/>
      </w:pPr>
      <w:r>
        <w:t>Naputku o načinu isplate beskamatnog zajma jedinicama lokalne i područne (regionalne) samouprave, Hrvatskom zavodu za mirovinsko osiguranje i Hrvatskom zavodu za zdravstvenom osiguranje („Narodne novine“ broj: 46/20, 5/21 i 73/21) i</w:t>
      </w:r>
    </w:p>
    <w:p w:rsidR="00052FF2" w:rsidRDefault="00052FF2" w:rsidP="00052FF2">
      <w:pPr>
        <w:pStyle w:val="Bezproreda"/>
        <w:numPr>
          <w:ilvl w:val="0"/>
          <w:numId w:val="10"/>
        </w:numPr>
        <w:jc w:val="both"/>
      </w:pPr>
      <w:r>
        <w:t>Naputku o isplati sredstava beskamatnog zajma jedinicama lokalne i područne (regionalne) samouprave uslijed pada prihoda („Narodne novine“ broj: 130/20.)</w:t>
      </w:r>
    </w:p>
    <w:p w:rsidR="00C169D3" w:rsidRDefault="00C169D3" w:rsidP="00C169D3">
      <w:pPr>
        <w:pStyle w:val="Bezproreda"/>
        <w:jc w:val="both"/>
      </w:pPr>
      <w:r>
        <w:t>Sukladno naputku o načinu isplate beskamatnog zajma jedinicama lokalne i područne (regionalne) samouprave, Hrvatskom zavodu za mirovinsko osiguranje i Hrvatskom zavodu za zdravstveno osiguranje isplaćen je zajam jedinicama za premošćivanje situacije nastale zbog različite dinamike priljeva sredstava i dospijeća obveza zbog odgođenog, odnosno obročnog plaćanja poreza na dohodak i prireza  te povrata poreza na dohodak i prireza po godišnjoj prijavi za 2019. godinu ili oslobođenja od plaćanja poreza i prireza na dohodak.</w:t>
      </w:r>
    </w:p>
    <w:p w:rsidR="00C169D3" w:rsidRPr="00C169D3" w:rsidRDefault="00C169D3" w:rsidP="00C169D3">
      <w:pPr>
        <w:pStyle w:val="Bezproreda"/>
        <w:jc w:val="both"/>
        <w:rPr>
          <w:b/>
        </w:rPr>
      </w:pPr>
    </w:p>
    <w:p w:rsidR="00C169D3" w:rsidRDefault="00C169D3" w:rsidP="00C169D3">
      <w:pPr>
        <w:pStyle w:val="Bezproreda"/>
        <w:jc w:val="both"/>
        <w:rPr>
          <w:b/>
        </w:rPr>
      </w:pPr>
      <w:r w:rsidRPr="00C169D3">
        <w:rPr>
          <w:b/>
        </w:rPr>
        <w:t>U proračunskom razdoblju od 2022. do 2024. godine jedinice lokalne i područne (regionalne) samouprave, koje su u 2020. godini zatražile i dobile iz državnog proračuna beskamatni zajam, sukladno spomenutim Naputcima, sredstva za povrat zajma trebaju planirati prema planiranoj dinamici povrata na podskupini 547 Otplata glavnice primljenih zajmova od drugih razina vlasti.</w:t>
      </w:r>
    </w:p>
    <w:p w:rsidR="00C169D3" w:rsidRDefault="00C169D3" w:rsidP="00C169D3">
      <w:pPr>
        <w:pStyle w:val="Bezproreda"/>
        <w:jc w:val="both"/>
        <w:rPr>
          <w:b/>
        </w:rPr>
      </w:pPr>
    </w:p>
    <w:p w:rsidR="007959C1" w:rsidRDefault="007959C1" w:rsidP="00C169D3">
      <w:pPr>
        <w:pStyle w:val="Bezproreda"/>
        <w:jc w:val="both"/>
      </w:pPr>
      <w:r>
        <w:t xml:space="preserve">Sukladno Naputku o načinu uplaćivanja prihoda proračuna, obveznih doprinosa te prihoda za financiranje drugih javnih potreba u 2021. godini („Narodne novine“ broj: 11/21, 49/21 i 73/21), glavi VIII. ZAJEDNIČKE ODREDBE, točki -. Zahtjevi za povrat i </w:t>
      </w:r>
      <w:proofErr w:type="spellStart"/>
      <w:r>
        <w:t>preknjiženje</w:t>
      </w:r>
      <w:proofErr w:type="spellEnd"/>
      <w:r>
        <w:t xml:space="preserve"> javnih potreba, Fina izvršava naloge za povrat odnosno </w:t>
      </w:r>
      <w:proofErr w:type="spellStart"/>
      <w:r>
        <w:t>preknjiženje</w:t>
      </w:r>
      <w:proofErr w:type="spellEnd"/>
      <w:r>
        <w:t xml:space="preserve"> sa zajedničkih računa za uplatu prihoda od poreza na dohodak i prireza, a ako na računu zajedničkog prihoda nema dovoljno sredstava za izvršenje povrata na računu zajedničkog prihoda proračuna, vraćaju se na račun državnog proračuna iz prvog priljeva sredstava na račun zajedničkog prihoda proračuna. Izmjenama ovog Naputka propisano je da se nedostajuća sredstva za povrat poreza i prireza na dohodak u razdoblju od 10. svibnja do 31. prosinca 2021. namiruju iz državnog proračuna , a povrat tih sredstava na račun državnog proračuna sa zajedničkog ra</w:t>
      </w:r>
      <w:r w:rsidR="00A137C5">
        <w:t>č</w:t>
      </w:r>
      <w:r>
        <w:t xml:space="preserve">una provodi se od 01.kolovoza do 31.prosinca 2021. u visini 25% raspoloživih sredstava na računu poreza na dohodak i prireza porezu na dohodak. Ako se do 31.prosinca 2021. godine ne vrate sva </w:t>
      </w:r>
      <w:r>
        <w:lastRenderedPageBreak/>
        <w:t>sredstva namirenja, sredstva se vraćaju počevši od siječnja 2022. godine, u četiri jednaka obroka, na način propisan Naputkom.</w:t>
      </w:r>
    </w:p>
    <w:p w:rsidR="00A137C5" w:rsidRDefault="00A137C5" w:rsidP="00C169D3">
      <w:pPr>
        <w:pStyle w:val="Bezproreda"/>
        <w:jc w:val="both"/>
      </w:pPr>
    </w:p>
    <w:p w:rsidR="00A137C5" w:rsidRDefault="00A137C5" w:rsidP="00C169D3">
      <w:pPr>
        <w:pStyle w:val="Bezproreda"/>
        <w:jc w:val="both"/>
      </w:pPr>
      <w:r>
        <w:t>Obveza za povrat namirenja iz državnog proračuna za povrat poreza na dohodak i prireza porezu na dohodak po godišnjoj prijavi za 2020. godinu je kratkoročna.</w:t>
      </w:r>
    </w:p>
    <w:p w:rsidR="00A137C5" w:rsidRDefault="00A137C5" w:rsidP="00C169D3">
      <w:pPr>
        <w:pStyle w:val="Bezproreda"/>
        <w:jc w:val="both"/>
      </w:pPr>
      <w:r>
        <w:t>Stoga jedinice  za koje je iz državnog proračuna provedeno namirenje nedostajućih sredstava za povrat poreza i prireza na dohodak po godišnjoj prijavi za 2020. godinu, stanje na dan 31.prosinca 2021. godine u izvještaju o izvršenju proračuna za 2021. godinu trebaju iskazati na odjeljku 8471 Primljeni zajmovi od državnog proračuna, a u 2022. godini trebaju se planirati izdaci za povrat zajmova na podskupini 547 Otplata glavnice primljenih zajmova od drugih razina vlasti.</w:t>
      </w:r>
    </w:p>
    <w:p w:rsidR="00A137C5" w:rsidRDefault="00A137C5" w:rsidP="00C169D3">
      <w:pPr>
        <w:pStyle w:val="Bezproreda"/>
        <w:jc w:val="both"/>
      </w:pPr>
    </w:p>
    <w:p w:rsidR="00511E6C" w:rsidRPr="00511E6C" w:rsidRDefault="00511E6C" w:rsidP="00976090">
      <w:pPr>
        <w:pStyle w:val="Bezproreda"/>
        <w:jc w:val="both"/>
      </w:pPr>
    </w:p>
    <w:p w:rsidR="00E52785" w:rsidRDefault="00E52785" w:rsidP="00976090">
      <w:pPr>
        <w:pStyle w:val="Bezproreda"/>
        <w:jc w:val="both"/>
      </w:pPr>
    </w:p>
    <w:p w:rsidR="00E52785" w:rsidRPr="00E52785" w:rsidRDefault="00E52785" w:rsidP="00682A51">
      <w:pPr>
        <w:pStyle w:val="Bezproreda"/>
        <w:numPr>
          <w:ilvl w:val="1"/>
          <w:numId w:val="12"/>
        </w:numPr>
        <w:jc w:val="both"/>
        <w:rPr>
          <w:b/>
        </w:rPr>
      </w:pPr>
      <w:r>
        <w:rPr>
          <w:b/>
        </w:rPr>
        <w:t>P</w:t>
      </w:r>
      <w:r w:rsidRPr="00E52785">
        <w:rPr>
          <w:b/>
        </w:rPr>
        <w:t>rimjena programske i organizacijske klasifikacije</w:t>
      </w:r>
    </w:p>
    <w:p w:rsidR="00362956" w:rsidRDefault="00362956" w:rsidP="00976090">
      <w:pPr>
        <w:pStyle w:val="Bezproreda"/>
        <w:jc w:val="both"/>
      </w:pPr>
    </w:p>
    <w:p w:rsidR="00E52785" w:rsidRDefault="00E52785" w:rsidP="00976090">
      <w:pPr>
        <w:pStyle w:val="Bezproreda"/>
        <w:jc w:val="both"/>
      </w:pPr>
      <w:r>
        <w:t>Pravilnikom o proračunskim klasifikacijama uređeno je da se programskom klasifikacijom definiraju programi, projekti (tekući i kapitalni) i aktivnosti u proračunu. Program se sastoji od jedne ili više aktivnosti (ili projekata), a aktivnost i projekt pripadaju samo jednom programu. Program se označuje četveroznamenkastom brojkom u rasponu od 1000 do 9999. Brojčana oznaka aktivnosti, tekućeg ili kapitalnog projekta je sedmeroznamenkasta oznaka koja se sastoji do slova A, T i K što označuje aktivnost, tekući projekt i kapitalni projekt i šesteroznamenkastog broja u rasponu od 10000 do 999999.</w:t>
      </w:r>
    </w:p>
    <w:p w:rsidR="00E52785" w:rsidRDefault="00E52785" w:rsidP="00976090">
      <w:pPr>
        <w:pStyle w:val="Bezproreda"/>
        <w:jc w:val="both"/>
      </w:pPr>
      <w:r>
        <w:t>Organizacijska klasifikacija utvrđuje se definiranjem razdjela, glava i proračunskog korisnika. Razdjel se sastoji od jedne ili više glava. Glava je organizacijska razina utvrđena za potrebe planiranja i izvršavanja proračuna, a sastoji se od jednog ili više proračunskih korisnika.</w:t>
      </w:r>
    </w:p>
    <w:p w:rsidR="00E52785" w:rsidRDefault="00E52785" w:rsidP="00976090">
      <w:pPr>
        <w:pStyle w:val="Bezproreda"/>
        <w:jc w:val="both"/>
      </w:pPr>
      <w:r>
        <w:t>Razdjelima, glavama i proračunskim korisnicima dodjeljuju se brojčane oznake i nazivi.</w:t>
      </w:r>
    </w:p>
    <w:p w:rsidR="00682A51" w:rsidRDefault="00E52785" w:rsidP="00976090">
      <w:pPr>
        <w:pStyle w:val="Bezproreda"/>
        <w:jc w:val="both"/>
      </w:pPr>
      <w:r>
        <w:t>Brojčana oznaka sastoji se od troznamenkastog broja za razdjel, peteroznamenkastog broja za glavu. Prve tri znamenke označuju oznaku razdjela a druge d</w:t>
      </w:r>
      <w:r w:rsidR="00682A51">
        <w:t>vije označuju glavu unutar razd</w:t>
      </w:r>
      <w:r>
        <w:t>jela</w:t>
      </w:r>
      <w:r w:rsidR="00682A51">
        <w:t>.</w:t>
      </w:r>
    </w:p>
    <w:p w:rsidR="00682A51" w:rsidRDefault="00682A51" w:rsidP="00976090">
      <w:pPr>
        <w:pStyle w:val="Bezproreda"/>
        <w:jc w:val="both"/>
      </w:pPr>
    </w:p>
    <w:p w:rsidR="00682A51" w:rsidRPr="00682A51" w:rsidRDefault="00682A51" w:rsidP="00682A51">
      <w:pPr>
        <w:pStyle w:val="Bezproreda"/>
        <w:numPr>
          <w:ilvl w:val="1"/>
          <w:numId w:val="11"/>
        </w:numPr>
        <w:jc w:val="both"/>
        <w:rPr>
          <w:b/>
        </w:rPr>
      </w:pPr>
      <w:r w:rsidRPr="00682A51">
        <w:rPr>
          <w:b/>
        </w:rPr>
        <w:t>Plan razvojnih programa</w:t>
      </w:r>
    </w:p>
    <w:p w:rsidR="00682A51" w:rsidRDefault="00682A51" w:rsidP="00682A51">
      <w:pPr>
        <w:pStyle w:val="Bezproreda"/>
        <w:jc w:val="both"/>
        <w:rPr>
          <w:b/>
        </w:rPr>
      </w:pPr>
    </w:p>
    <w:p w:rsidR="00682A51" w:rsidRDefault="00682A51" w:rsidP="00682A51">
      <w:pPr>
        <w:pStyle w:val="Bezproreda"/>
        <w:jc w:val="both"/>
      </w:pPr>
      <w:r w:rsidRPr="00682A51">
        <w:t>Zakonom o proračunu utvrđena je obveza izrade plana razvojnih programa koji su sastavni dio proračuna. U planu razvojnih programa iska</w:t>
      </w:r>
      <w:r>
        <w:t>zuju se planirani rashodi za trogodišnje razdoblje te ciljevi i prioriteti razvoja Općine Posedarje koji su povezani s programskom i organizacijskom klasifikacijom proračuna. Plan razvojnih programa predstavlja strateško-planski dokument Općine odnosno poveznicu između strateških ciljeva utvrđenih strateškim dokumentima proračuna za trogodišnje razdoblje.</w:t>
      </w:r>
    </w:p>
    <w:p w:rsidR="00682A51" w:rsidRDefault="00682A51" w:rsidP="00682A51">
      <w:pPr>
        <w:pStyle w:val="Bezproreda"/>
        <w:jc w:val="both"/>
      </w:pPr>
      <w:r>
        <w:t>Proračun Općine Posedarje za razdoblje od 202</w:t>
      </w:r>
      <w:r w:rsidR="00A137C5">
        <w:t>2</w:t>
      </w:r>
      <w:r>
        <w:t>. -202</w:t>
      </w:r>
      <w:r w:rsidR="00A137C5">
        <w:t>4</w:t>
      </w:r>
      <w:r>
        <w:t>. godine bit će u funkciji razvoja općine kroz porast životnog standarda kroz ostvarivanje navedenih ciljeva.</w:t>
      </w:r>
    </w:p>
    <w:p w:rsidR="00682A51" w:rsidRDefault="00682A51" w:rsidP="00682A51">
      <w:pPr>
        <w:pStyle w:val="Bezproreda"/>
        <w:jc w:val="both"/>
      </w:pPr>
    </w:p>
    <w:p w:rsidR="00682A51" w:rsidRPr="0057138B" w:rsidRDefault="00682A51" w:rsidP="00682A51">
      <w:pPr>
        <w:pStyle w:val="Bezproreda"/>
        <w:jc w:val="both"/>
        <w:rPr>
          <w:b/>
        </w:rPr>
      </w:pPr>
      <w:r>
        <w:rPr>
          <w:b/>
        </w:rPr>
        <w:t>2</w:t>
      </w:r>
      <w:r w:rsidRPr="0057138B">
        <w:rPr>
          <w:b/>
        </w:rPr>
        <w:t>.</w:t>
      </w:r>
      <w:r>
        <w:rPr>
          <w:b/>
        </w:rPr>
        <w:t>4</w:t>
      </w:r>
      <w:r w:rsidRPr="0057138B">
        <w:rPr>
          <w:b/>
        </w:rPr>
        <w:t>. Primjena načina transparentnosti</w:t>
      </w:r>
    </w:p>
    <w:p w:rsidR="00682A51" w:rsidRDefault="00682A51" w:rsidP="00682A51">
      <w:pPr>
        <w:pStyle w:val="Bezproreda"/>
        <w:jc w:val="both"/>
      </w:pPr>
    </w:p>
    <w:p w:rsidR="00682A51" w:rsidRDefault="00682A51" w:rsidP="00682A51">
      <w:pPr>
        <w:pStyle w:val="Bezproreda"/>
        <w:jc w:val="both"/>
      </w:pPr>
      <w:r>
        <w:t xml:space="preserve">Da bi se osiguralo ostvarenja načela transparentnosti i slobodan pristup informacijama kao i njihovo povezivanje, preuzimanje i ponovno korištenje, preporučuje se da svi navedeni materijali vezani uz proračun i njegove izmjene objavljuju u formatu pogodnom za daljnju obradu (word i </w:t>
      </w:r>
      <w:proofErr w:type="spellStart"/>
      <w:r>
        <w:t>excel</w:t>
      </w:r>
      <w:proofErr w:type="spellEnd"/>
      <w:r>
        <w:t>).</w:t>
      </w:r>
    </w:p>
    <w:p w:rsidR="00682A51" w:rsidRDefault="00682A51" w:rsidP="00682A51">
      <w:pPr>
        <w:pStyle w:val="Bezproreda"/>
        <w:jc w:val="both"/>
      </w:pPr>
    </w:p>
    <w:p w:rsidR="00682A51" w:rsidRDefault="00682A51" w:rsidP="00976090">
      <w:pPr>
        <w:pStyle w:val="Bezproreda"/>
        <w:jc w:val="both"/>
      </w:pPr>
    </w:p>
    <w:p w:rsidR="00682A51" w:rsidRDefault="00682A51" w:rsidP="00976090">
      <w:pPr>
        <w:pStyle w:val="Bezproreda"/>
        <w:jc w:val="both"/>
      </w:pPr>
    </w:p>
    <w:p w:rsidR="00362956" w:rsidRDefault="002F61B0" w:rsidP="00976090">
      <w:pPr>
        <w:pStyle w:val="Bezproreda"/>
        <w:jc w:val="both"/>
        <w:rPr>
          <w:b/>
        </w:rPr>
      </w:pPr>
      <w:r>
        <w:rPr>
          <w:b/>
        </w:rPr>
        <w:t>2</w:t>
      </w:r>
      <w:r w:rsidR="00E40B38">
        <w:rPr>
          <w:b/>
        </w:rPr>
        <w:t>.</w:t>
      </w:r>
      <w:r w:rsidR="00682A51">
        <w:rPr>
          <w:b/>
        </w:rPr>
        <w:t>5</w:t>
      </w:r>
      <w:r w:rsidR="00362956" w:rsidRPr="001A0833">
        <w:rPr>
          <w:b/>
        </w:rPr>
        <w:t>.</w:t>
      </w:r>
      <w:r w:rsidR="00682A51">
        <w:rPr>
          <w:b/>
        </w:rPr>
        <w:t xml:space="preserve"> </w:t>
      </w:r>
      <w:r w:rsidR="00362956" w:rsidRPr="001A0833">
        <w:rPr>
          <w:b/>
        </w:rPr>
        <w:t>Dostava proračuna i odluke o izvršavanju proračuna Ministarstvu financija</w:t>
      </w:r>
    </w:p>
    <w:p w:rsidR="00362956" w:rsidRDefault="00362956" w:rsidP="00976090">
      <w:pPr>
        <w:pStyle w:val="Bezproreda"/>
        <w:jc w:val="both"/>
        <w:rPr>
          <w:b/>
        </w:rPr>
      </w:pPr>
    </w:p>
    <w:p w:rsidR="00362956" w:rsidRDefault="00362956" w:rsidP="00976090">
      <w:pPr>
        <w:pStyle w:val="Bezproreda"/>
        <w:jc w:val="both"/>
      </w:pPr>
      <w:r w:rsidRPr="001A0833">
        <w:t>Sukladno članku 40. Zakona</w:t>
      </w:r>
      <w:r>
        <w:t xml:space="preserve"> o proračunu, načelnik, gradonačelnik i župan obvezni su dostaviti Ministarstvu financija proračun i projekcije, odluke o izvršavanju proračuna te izmjene i dopune </w:t>
      </w:r>
      <w:r>
        <w:lastRenderedPageBreak/>
        <w:t xml:space="preserve">proračuna jedinice lokalne i područne (regionalne) samouprave u roku od 15 dana od njihova stupanja na snagu. Jedinice lokalne i područne (Regionalne) samouprave obvezne su na adresu </w:t>
      </w:r>
      <w:proofErr w:type="spellStart"/>
      <w:r>
        <w:t>e.pošte</w:t>
      </w:r>
      <w:proofErr w:type="spellEnd"/>
      <w:r>
        <w:t xml:space="preserve"> Ministarstva </w:t>
      </w:r>
      <w:proofErr w:type="spellStart"/>
      <w:r>
        <w:t>financija:lokalni.proracun@mfin.hr</w:t>
      </w:r>
      <w:proofErr w:type="spellEnd"/>
      <w:r>
        <w:t xml:space="preserve"> poslati link na navedene dokumente objavljene u službenom glasilu, u roku od 15 dana njihova stupanja na snagu. Sve izmjene i dopune proračuna jedinice lokalne i područne</w:t>
      </w:r>
      <w:r w:rsidR="00E40B38">
        <w:t xml:space="preserve"> (regionalne) samouprave za 20</w:t>
      </w:r>
      <w:r w:rsidR="00041F1A">
        <w:t>2</w:t>
      </w:r>
      <w:r w:rsidR="0068355B">
        <w:t>2</w:t>
      </w:r>
      <w:r>
        <w:t xml:space="preserve">. </w:t>
      </w:r>
      <w:r w:rsidR="00E40B38">
        <w:t>g</w:t>
      </w:r>
      <w:r>
        <w:t>odinu koje stupe na snagu i tijekom 20</w:t>
      </w:r>
      <w:r w:rsidR="00041F1A">
        <w:t>2</w:t>
      </w:r>
      <w:r w:rsidR="0068355B">
        <w:t>2</w:t>
      </w:r>
      <w:r>
        <w:t>. godine dostavljaju se također u roku od 15 dana od dana njihova stupanja na snagu i na istu e-mail adresu.</w:t>
      </w:r>
    </w:p>
    <w:p w:rsidR="00362956" w:rsidRDefault="00362956" w:rsidP="00976090">
      <w:pPr>
        <w:pStyle w:val="Bezproreda"/>
        <w:jc w:val="both"/>
      </w:pPr>
      <w:r>
        <w:t>Sukladno članku 112.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w:t>
      </w:r>
    </w:p>
    <w:p w:rsidR="00362956" w:rsidRDefault="00362956" w:rsidP="00976090">
      <w:pPr>
        <w:pStyle w:val="Bezproreda"/>
        <w:jc w:val="both"/>
      </w:pPr>
    </w:p>
    <w:p w:rsidR="00362956" w:rsidRDefault="00362956" w:rsidP="00976090">
      <w:pPr>
        <w:pStyle w:val="Bezproreda"/>
        <w:jc w:val="both"/>
      </w:pPr>
      <w:r>
        <w:t xml:space="preserve">Sukladno Uputama za izradu proračuna jedinica lokalne i područne (regionalne) samouprave za razdoblje </w:t>
      </w:r>
      <w:r w:rsidR="00E06789">
        <w:t>202</w:t>
      </w:r>
      <w:r w:rsidR="0068355B">
        <w:t>2</w:t>
      </w:r>
      <w:r>
        <w:t xml:space="preserve"> do 202</w:t>
      </w:r>
      <w:r w:rsidR="0068355B">
        <w:t>4</w:t>
      </w:r>
      <w:r>
        <w:t xml:space="preserve">. Godišnji izvještaj o izvršenju proračuna jedinica lokalne i područne (regionalne) samouprave, počevši s izvještajem za 2017. Godinu, nije potrebno više dostavljati u papirnatom obliku putem pošte Ministarstvu financija, kao niti Državnom uredu za reviziju. Ministarstvu financija je potrebno na e-mail adresu </w:t>
      </w:r>
      <w:hyperlink r:id="rId6" w:history="1">
        <w:r w:rsidRPr="00E44E23">
          <w:rPr>
            <w:rStyle w:val="Hiperveza"/>
          </w:rPr>
          <w:t>lokalni.proracuni@mfin.hr</w:t>
        </w:r>
      </w:hyperlink>
      <w:r>
        <w:t xml:space="preserve"> dostaviti isključivo link na internetsku stranicu jedinice lokane i područne (regionalne ) samouprave na kojoj je izvještaj objavljen. Državnom uredu za reviziju je podatak o linku potrebno dostaviti na e-mail Državnog ureda za reviziju i to:Grad Zagreb na e-mail Središnjeg ureda Državnog ureda za reviziju, dok su druge jedinice lokalne i područne (regionalne) samouprave obvezne dostaviti na link izvještaja na e-mail područnog ureda Državnog ureda za reviziju na čijem području je sjedište jedinice. Sve e-mail adrese su objavljene na mrežnoj stranici Državnog ureda za reviziju , </w:t>
      </w:r>
      <w:hyperlink r:id="rId7" w:history="1">
        <w:r w:rsidRPr="00E44E23">
          <w:rPr>
            <w:rStyle w:val="Hiperveza"/>
          </w:rPr>
          <w:t>http://revizija.hr/hr/kontakt/</w:t>
        </w:r>
      </w:hyperlink>
      <w:r>
        <w:t>.</w:t>
      </w:r>
    </w:p>
    <w:p w:rsidR="00A137C5" w:rsidRDefault="00A137C5" w:rsidP="00976090">
      <w:pPr>
        <w:pStyle w:val="Bezproreda"/>
        <w:jc w:val="both"/>
      </w:pPr>
    </w:p>
    <w:p w:rsidR="00A137C5" w:rsidRDefault="00A137C5" w:rsidP="00976090">
      <w:pPr>
        <w:pStyle w:val="Bezproreda"/>
        <w:jc w:val="both"/>
      </w:pPr>
      <w:r>
        <w:t xml:space="preserve">Sukladno članku 79. Zakona o lokalnoj i područnoj </w:t>
      </w:r>
      <w:r w:rsidR="00A81147">
        <w:t>(regionalnoj)samoupravi predsjednik predstavničkog tijela jedinice lokalne i područne (regionalne) samouprave dužan je na ocjenu zakonitosti dostaviti statut, poslovnik, proračun ili drugi opći akt nadležnom tijelu državne uprave u čijem je djelokrugu opći akt zajedno s izvatkom iz zapisnika koji se odnosi na postupak donošenja općeg akta propisan statutom i poslovnikom, u roku od 15 dana od dana donošenja općeg akta.</w:t>
      </w:r>
    </w:p>
    <w:p w:rsidR="00A81147" w:rsidRDefault="00A81147" w:rsidP="00976090">
      <w:pPr>
        <w:pStyle w:val="Bezproreda"/>
        <w:jc w:val="both"/>
      </w:pPr>
    </w:p>
    <w:p w:rsidR="00A81147" w:rsidRDefault="00A81147" w:rsidP="00976090">
      <w:pPr>
        <w:pStyle w:val="Bezproreda"/>
        <w:jc w:val="both"/>
      </w:pPr>
      <w:r>
        <w:t>Ministarstvo financija nadležno je za nadzor zakonitosti općih akata iz područja financija i to:</w:t>
      </w:r>
    </w:p>
    <w:p w:rsidR="00A81147" w:rsidRDefault="00A81147" w:rsidP="00A81147">
      <w:pPr>
        <w:pStyle w:val="Bezproreda"/>
        <w:numPr>
          <w:ilvl w:val="0"/>
          <w:numId w:val="15"/>
        </w:numPr>
        <w:jc w:val="both"/>
      </w:pPr>
      <w:r>
        <w:t>Proračun za tekuću proračunsku godinu i projekcija za sljedeće dvije proračunske godine (čl. 39. st. 1. Zakona o proračunu),</w:t>
      </w:r>
    </w:p>
    <w:p w:rsidR="00A81147" w:rsidRDefault="00A81147" w:rsidP="00A81147">
      <w:pPr>
        <w:pStyle w:val="Bezproreda"/>
        <w:numPr>
          <w:ilvl w:val="0"/>
          <w:numId w:val="15"/>
        </w:numPr>
        <w:jc w:val="both"/>
      </w:pPr>
      <w:r>
        <w:t xml:space="preserve">Odluke o izvršavanju Proračuna jedinice lokalne i područne regionalne samouprave te izmjene i dopune navedene odluke (čl.14 st. 1. Zakona o proračunu), </w:t>
      </w:r>
    </w:p>
    <w:p w:rsidR="00A81147" w:rsidRDefault="00A81147" w:rsidP="00A81147">
      <w:pPr>
        <w:pStyle w:val="Bezproreda"/>
        <w:numPr>
          <w:ilvl w:val="0"/>
          <w:numId w:val="15"/>
        </w:numPr>
        <w:jc w:val="both"/>
      </w:pPr>
      <w:r>
        <w:t>Izmjene i dopune proračuna (čl. 39. st. 2. Zakona o proračunu),</w:t>
      </w:r>
    </w:p>
    <w:p w:rsidR="00A81147" w:rsidRDefault="00A81147" w:rsidP="00A81147">
      <w:pPr>
        <w:pStyle w:val="Bezproreda"/>
        <w:numPr>
          <w:ilvl w:val="0"/>
          <w:numId w:val="15"/>
        </w:numPr>
        <w:jc w:val="both"/>
      </w:pPr>
      <w:r>
        <w:t>Odluke o privremenom financiranju jedinica lokalne i područne regionalne samouprave (čl. 42. st. 2 Zakona o proračunu) i</w:t>
      </w:r>
    </w:p>
    <w:p w:rsidR="00A81147" w:rsidRDefault="00A81147" w:rsidP="00A81147">
      <w:pPr>
        <w:pStyle w:val="Bezproreda"/>
        <w:numPr>
          <w:ilvl w:val="0"/>
          <w:numId w:val="15"/>
        </w:numPr>
        <w:jc w:val="both"/>
      </w:pPr>
      <w:r>
        <w:t xml:space="preserve">Odluke o porezima (čl. 42. i 43., a u svezu sa člankom 53. Zakona o lokalnim porezima „Narodne novine“ </w:t>
      </w:r>
      <w:proofErr w:type="spellStart"/>
      <w:r>
        <w:t>br</w:t>
      </w:r>
      <w:proofErr w:type="spellEnd"/>
      <w:r>
        <w:t>: 115/16, i 101/17)</w:t>
      </w:r>
    </w:p>
    <w:p w:rsidR="00257F3F" w:rsidRDefault="00257F3F" w:rsidP="00257F3F">
      <w:pPr>
        <w:pStyle w:val="Bezproreda"/>
        <w:jc w:val="both"/>
      </w:pPr>
    </w:p>
    <w:p w:rsidR="00257F3F" w:rsidRDefault="00257F3F" w:rsidP="00257F3F">
      <w:pPr>
        <w:pStyle w:val="Bezproreda"/>
        <w:jc w:val="both"/>
      </w:pPr>
      <w:r>
        <w:t>Nadzor zakonitosti akata od rednog broja 1. do 4. provodi Sektor za financijski i proračunski nadzor, dok nadzor zakonitosti akta pod rednim brojem 5. provodi Porezna uprava.</w:t>
      </w:r>
    </w:p>
    <w:p w:rsidR="00257F3F" w:rsidRPr="00257F3F" w:rsidRDefault="00257F3F" w:rsidP="00257F3F">
      <w:pPr>
        <w:pStyle w:val="Bezproreda"/>
        <w:jc w:val="both"/>
        <w:rPr>
          <w:b/>
        </w:rPr>
      </w:pPr>
      <w:r>
        <w:t xml:space="preserve">Dakle, jedinice su u obvezi opće akte iz nadležnosti Ministarstva financija (proračun, odluku o izvršavanju proračuna, izmjene i dopune proračuna te odluku o privremenom financiranju) u roku od 15 dana od dana donošenja općeg akta </w:t>
      </w:r>
      <w:r w:rsidRPr="00257F3F">
        <w:rPr>
          <w:b/>
        </w:rPr>
        <w:t>dostaviti poštom u papirnatom obliku na adresu Ministarstvo financija, Sektor za financijski i proračunski nadzor, Katančićeva 5, Zagreb.</w:t>
      </w:r>
    </w:p>
    <w:p w:rsidR="00A81147" w:rsidRPr="00257F3F" w:rsidRDefault="00A81147" w:rsidP="00257F3F">
      <w:pPr>
        <w:pStyle w:val="Bezproreda"/>
        <w:ind w:left="720"/>
        <w:jc w:val="both"/>
        <w:rPr>
          <w:b/>
        </w:rPr>
      </w:pPr>
    </w:p>
    <w:p w:rsidR="00682A51" w:rsidRDefault="00682A51" w:rsidP="00976090">
      <w:pPr>
        <w:pStyle w:val="Bezproreda"/>
        <w:jc w:val="both"/>
      </w:pPr>
    </w:p>
    <w:p w:rsidR="00682A51" w:rsidRPr="008B72E9" w:rsidRDefault="00682A51" w:rsidP="00682A51">
      <w:pPr>
        <w:pStyle w:val="Bezproreda"/>
        <w:jc w:val="both"/>
        <w:rPr>
          <w:b/>
        </w:rPr>
      </w:pPr>
      <w:r>
        <w:rPr>
          <w:b/>
        </w:rPr>
        <w:t>2</w:t>
      </w:r>
      <w:r w:rsidRPr="008B72E9">
        <w:rPr>
          <w:b/>
        </w:rPr>
        <w:t>.</w:t>
      </w:r>
      <w:r>
        <w:rPr>
          <w:b/>
        </w:rPr>
        <w:t>6</w:t>
      </w:r>
      <w:r w:rsidRPr="008B72E9">
        <w:rPr>
          <w:b/>
        </w:rPr>
        <w:t>. Zaduživanje i davanje jamstava i suglasnosti</w:t>
      </w:r>
    </w:p>
    <w:p w:rsidR="00682A51" w:rsidRDefault="00682A51" w:rsidP="00682A51">
      <w:pPr>
        <w:pStyle w:val="Bezproreda"/>
        <w:jc w:val="both"/>
      </w:pPr>
    </w:p>
    <w:p w:rsidR="00682A51" w:rsidRDefault="00682A51" w:rsidP="00682A51">
      <w:pPr>
        <w:pStyle w:val="Bezproreda"/>
        <w:jc w:val="both"/>
      </w:pPr>
      <w:r>
        <w:lastRenderedPageBreak/>
        <w:t>Zakonom o proračunu i Pravilnikom o postupku zaduživanja te davanja jamstava i suglasnosti jedinica lokalne i područne  (regionalne) samouprave („Narodne novine“ broj 55/09 i 139/10) propisan je postupak davanja  suglasnosti za zaduživanje jedinica lokalne i područne (regionalne) samouprave (dalje u tekstu: općina, grad, županija) davanja jamstava županije i davanja suglasnosti općine, grada i županije, obvezni sastojci zahtjeva,  obvezni prilozi i dokumentacija, te način izvještavanja o zaduživanju, danim jamstvima i suglasnostima.</w:t>
      </w:r>
    </w:p>
    <w:p w:rsidR="00682A51" w:rsidRDefault="00682A51" w:rsidP="00682A51">
      <w:pPr>
        <w:pStyle w:val="Bezproreda"/>
        <w:jc w:val="both"/>
      </w:pPr>
      <w:r>
        <w:t>Zakonom o proračunu propisana je obveza i rok dostave ugovora o zaduživanju te izvještaja o zaduživanju, danim jamstvima i suglasnostima putem obrasca IZJS Ministarstva financija. Skenirani ugovori i Obrasci IZJS (potpis župana/gradonačelnika/načelnika i pečat) dostavljaju se na e-mail adresu Ministarstva financija(</w:t>
      </w:r>
      <w:hyperlink r:id="rId8" w:history="1">
        <w:r w:rsidR="00513370" w:rsidRPr="00B10DF8">
          <w:rPr>
            <w:rStyle w:val="Hiperveza"/>
          </w:rPr>
          <w:t>lokalni.proracuni@mfin.hr</w:t>
        </w:r>
      </w:hyperlink>
      <w:r>
        <w:t>)</w:t>
      </w:r>
    </w:p>
    <w:p w:rsidR="00513370" w:rsidRDefault="00513370" w:rsidP="00682A51">
      <w:pPr>
        <w:pStyle w:val="Bezproreda"/>
        <w:jc w:val="both"/>
      </w:pPr>
    </w:p>
    <w:p w:rsidR="00513370" w:rsidRPr="00513370" w:rsidRDefault="00513370" w:rsidP="00682A51">
      <w:pPr>
        <w:pStyle w:val="Bezproreda"/>
        <w:jc w:val="both"/>
        <w:rPr>
          <w:b/>
        </w:rPr>
      </w:pPr>
      <w:r w:rsidRPr="00513370">
        <w:rPr>
          <w:b/>
        </w:rPr>
        <w:t>2.7. Procjena prihoda i rashoda, te primitaka i izdataka Općine Posedarje u narednom trogodišnjem</w:t>
      </w:r>
      <w:r>
        <w:t xml:space="preserve"> </w:t>
      </w:r>
      <w:r w:rsidRPr="00513370">
        <w:rPr>
          <w:b/>
        </w:rPr>
        <w:t>razdoblju</w:t>
      </w:r>
    </w:p>
    <w:p w:rsidR="00682A51" w:rsidRDefault="00513370" w:rsidP="00513370">
      <w:pPr>
        <w:pStyle w:val="Bezproreda"/>
        <w:tabs>
          <w:tab w:val="left" w:pos="2790"/>
        </w:tabs>
        <w:jc w:val="both"/>
      </w:pPr>
      <w:r>
        <w:tab/>
      </w:r>
    </w:p>
    <w:p w:rsidR="00513370" w:rsidRDefault="00513370" w:rsidP="00513370">
      <w:pPr>
        <w:pStyle w:val="Bezproreda"/>
        <w:tabs>
          <w:tab w:val="left" w:pos="2790"/>
        </w:tabs>
        <w:jc w:val="both"/>
      </w:pPr>
      <w:r>
        <w:t>Prihodi jedinica lokalne i područne (regionalne) samouprave planiraju se na temelju istih makroekonomskih pretpostavki kao i kod prihoda državnog proračuna.</w:t>
      </w:r>
    </w:p>
    <w:p w:rsidR="00513370" w:rsidRDefault="00513370" w:rsidP="00513370">
      <w:pPr>
        <w:pStyle w:val="Bezproreda"/>
        <w:tabs>
          <w:tab w:val="left" w:pos="2790"/>
        </w:tabs>
        <w:jc w:val="both"/>
      </w:pPr>
      <w:r>
        <w:t>Prilikom planiranja proračuna prihodi od poreza i od imovine očekuju se u ra</w:t>
      </w:r>
      <w:r w:rsidR="005C7C81">
        <w:t>sponu ostvarenih prihoda za prvih devet mjeseci 202</w:t>
      </w:r>
      <w:r w:rsidR="00257F3F">
        <w:t>1</w:t>
      </w:r>
      <w:r w:rsidR="005C7C81">
        <w:t>.g. uz povećanje procjene ostvarenih prihoda  do kraja 202</w:t>
      </w:r>
      <w:r w:rsidR="00257F3F">
        <w:t>1</w:t>
      </w:r>
      <w:r w:rsidR="005C7C81">
        <w:t>.g.</w:t>
      </w:r>
    </w:p>
    <w:p w:rsidR="005C7C81" w:rsidRDefault="005C7C81" w:rsidP="00513370">
      <w:pPr>
        <w:pStyle w:val="Bezproreda"/>
        <w:tabs>
          <w:tab w:val="left" w:pos="2790"/>
        </w:tabs>
        <w:jc w:val="both"/>
      </w:pPr>
    </w:p>
    <w:p w:rsidR="005C7C81" w:rsidRDefault="005C7C81" w:rsidP="00513370">
      <w:pPr>
        <w:pStyle w:val="Bezproreda"/>
        <w:tabs>
          <w:tab w:val="left" w:pos="2790"/>
        </w:tabs>
        <w:jc w:val="both"/>
      </w:pPr>
      <w:r>
        <w:t>Prilikom planiranja proračuna za 202</w:t>
      </w:r>
      <w:r w:rsidR="00257F3F">
        <w:t>2</w:t>
      </w:r>
      <w:r>
        <w:t xml:space="preserve">.g. očekuje se da će  Općina Posedarje aplicirati za sredstva iz fondova.  Nastojat će se pristupiti što efikasnijoj naplati prihoda od komunalne naknade. </w:t>
      </w:r>
    </w:p>
    <w:p w:rsidR="00A01EBE" w:rsidRDefault="00A01EBE" w:rsidP="00513370">
      <w:pPr>
        <w:pStyle w:val="Bezproreda"/>
        <w:tabs>
          <w:tab w:val="left" w:pos="2790"/>
        </w:tabs>
        <w:jc w:val="both"/>
      </w:pPr>
      <w:r>
        <w:t>U 202</w:t>
      </w:r>
      <w:r w:rsidR="00257F3F">
        <w:t>2</w:t>
      </w:r>
      <w:r>
        <w:t xml:space="preserve">.g. očekuje se povećanje prihoda od prodaje građevinskih parcela. </w:t>
      </w:r>
      <w:r w:rsidR="00B20AAC">
        <w:t>V</w:t>
      </w:r>
      <w:r>
        <w:t>ažno je istaknuti da pri izradi proračuna jedinice lokalne i područne (regionalne) samouprave uz smjernice kretanja prihoda i rashoda, svaka jedinica izrađuje plan rashoda uzimajući u obzir vlastite gospodarske i društvene specifičnosti te pridržavajući se Zakona o proračunu i Zakona o fiskalnoj odgovornosti.</w:t>
      </w:r>
    </w:p>
    <w:p w:rsidR="00362956" w:rsidRDefault="00362956" w:rsidP="00976090">
      <w:pPr>
        <w:pStyle w:val="Bezproreda"/>
        <w:jc w:val="both"/>
      </w:pPr>
    </w:p>
    <w:p w:rsidR="00362956" w:rsidRDefault="002F61B0" w:rsidP="00976090">
      <w:pPr>
        <w:pStyle w:val="Bezproreda"/>
        <w:jc w:val="both"/>
        <w:rPr>
          <w:b/>
        </w:rPr>
      </w:pPr>
      <w:r>
        <w:rPr>
          <w:b/>
        </w:rPr>
        <w:t>2</w:t>
      </w:r>
      <w:r w:rsidR="00362956" w:rsidRPr="00F0703A">
        <w:rPr>
          <w:b/>
        </w:rPr>
        <w:t>.</w:t>
      </w:r>
      <w:r w:rsidR="00A01EBE">
        <w:rPr>
          <w:b/>
        </w:rPr>
        <w:t>8</w:t>
      </w:r>
      <w:r w:rsidR="00362956">
        <w:rPr>
          <w:b/>
        </w:rPr>
        <w:t xml:space="preserve">. </w:t>
      </w:r>
      <w:r w:rsidR="00362956" w:rsidRPr="00F0703A">
        <w:rPr>
          <w:b/>
        </w:rPr>
        <w:t>Unos podataka iz proračuna jed</w:t>
      </w:r>
      <w:r w:rsidR="00362956">
        <w:rPr>
          <w:b/>
        </w:rPr>
        <w:t>i</w:t>
      </w:r>
      <w:r w:rsidR="00362956" w:rsidRPr="00F0703A">
        <w:rPr>
          <w:b/>
        </w:rPr>
        <w:t>nica na web aplikaciju za statističke podatke</w:t>
      </w:r>
    </w:p>
    <w:p w:rsidR="00362956" w:rsidRDefault="00362956" w:rsidP="00976090">
      <w:pPr>
        <w:pStyle w:val="Bezproreda"/>
        <w:jc w:val="both"/>
        <w:rPr>
          <w:b/>
        </w:rPr>
      </w:pPr>
    </w:p>
    <w:p w:rsidR="002F61B0" w:rsidRDefault="00257F3F" w:rsidP="00976090">
      <w:pPr>
        <w:pStyle w:val="Bezproreda"/>
        <w:jc w:val="both"/>
      </w:pPr>
      <w:r>
        <w:t>Jedinice lokalne i područne (regionalne) samouprave su, za potrebe statističkog praćenja, u posebnu web aplikaciju Ministarstva financija „Financijski planovi JLP(R)S“ unosile podatke iz slijedećih dokumenata:</w:t>
      </w:r>
    </w:p>
    <w:p w:rsidR="00257F3F" w:rsidRDefault="00257F3F" w:rsidP="00257F3F">
      <w:pPr>
        <w:pStyle w:val="Bezproreda"/>
        <w:numPr>
          <w:ilvl w:val="0"/>
          <w:numId w:val="10"/>
        </w:numPr>
        <w:jc w:val="both"/>
      </w:pPr>
      <w:r>
        <w:t>proračuna za tekuću proračunsku godinu i projekcija za slijedeće</w:t>
      </w:r>
      <w:r w:rsidR="00E438FD">
        <w:t xml:space="preserve"> </w:t>
      </w:r>
      <w:r>
        <w:t>dvije godine,</w:t>
      </w:r>
    </w:p>
    <w:p w:rsidR="00257F3F" w:rsidRDefault="00257F3F" w:rsidP="00257F3F">
      <w:pPr>
        <w:pStyle w:val="Bezproreda"/>
        <w:numPr>
          <w:ilvl w:val="0"/>
          <w:numId w:val="10"/>
        </w:numPr>
        <w:jc w:val="both"/>
      </w:pPr>
      <w:r>
        <w:t>privremenog financiranja za tekuću proračunsku godinu</w:t>
      </w:r>
      <w:r w:rsidR="00E438FD">
        <w:t xml:space="preserve"> u </w:t>
      </w:r>
      <w:r>
        <w:t>slučaju donošenja odluke o privremenom financiranju) i</w:t>
      </w:r>
    </w:p>
    <w:p w:rsidR="00257F3F" w:rsidRDefault="00257F3F" w:rsidP="00257F3F">
      <w:pPr>
        <w:pStyle w:val="Bezproreda"/>
        <w:numPr>
          <w:ilvl w:val="0"/>
          <w:numId w:val="10"/>
        </w:numPr>
        <w:jc w:val="both"/>
      </w:pPr>
      <w:r>
        <w:t xml:space="preserve">svih izmjena i dopuna proračuna za </w:t>
      </w:r>
      <w:r w:rsidR="00E438FD">
        <w:t>t</w:t>
      </w:r>
      <w:r>
        <w:t>ekuću proračunsku godinu.</w:t>
      </w:r>
    </w:p>
    <w:p w:rsidR="00362956" w:rsidRDefault="00362956" w:rsidP="00976090">
      <w:pPr>
        <w:pStyle w:val="Bezproreda"/>
        <w:jc w:val="both"/>
      </w:pPr>
    </w:p>
    <w:p w:rsidR="00E438FD" w:rsidRDefault="00E438FD" w:rsidP="00976090">
      <w:pPr>
        <w:pStyle w:val="Bezproreda"/>
        <w:jc w:val="both"/>
      </w:pPr>
      <w:r>
        <w:t>Budući da unos podataka do daljnjeg nije moguć jedinice će pravovremeno biti obavještene nakon što se ispune informatičko-tehnički uvjetu za pokretanje nove aplikacije</w:t>
      </w:r>
    </w:p>
    <w:p w:rsidR="0026399E" w:rsidRDefault="0026399E" w:rsidP="00976090">
      <w:pPr>
        <w:pStyle w:val="Bezproreda"/>
        <w:jc w:val="both"/>
      </w:pPr>
    </w:p>
    <w:p w:rsidR="0026399E" w:rsidRPr="0026399E" w:rsidRDefault="0026399E" w:rsidP="00976090">
      <w:pPr>
        <w:pStyle w:val="Bezproreda"/>
        <w:jc w:val="both"/>
        <w:rPr>
          <w:b/>
        </w:rPr>
      </w:pPr>
      <w:r w:rsidRPr="0026399E">
        <w:rPr>
          <w:b/>
        </w:rPr>
        <w:t>3. METADOLOGIJA IZRADE PRIJEDLOGA FINANCIJSKOG PLANA PRORAČUNSKOG KORISNIKA JEDEINICE LOKALNE I PODRUČNE (REGIONALNE) SAMOUPRAVE</w:t>
      </w:r>
    </w:p>
    <w:p w:rsidR="0026399E" w:rsidRDefault="0026399E" w:rsidP="00976090">
      <w:pPr>
        <w:pStyle w:val="Bezproreda"/>
        <w:jc w:val="both"/>
        <w:rPr>
          <w:b/>
        </w:rPr>
      </w:pPr>
    </w:p>
    <w:p w:rsidR="0026399E" w:rsidRDefault="0026399E" w:rsidP="00976090">
      <w:pPr>
        <w:pStyle w:val="Bezproreda"/>
        <w:jc w:val="both"/>
      </w:pPr>
      <w:r>
        <w:t>Proračunski korisnici jedinica lokalne i područne (regionalne) samouprave obvezni su izrađivati financijske planove u skladu s odredbama Zakona o proračunu i pridržavati se Uputa za izradu proračuna jedinica lokalne i područne (regionalne) samouprave za razdoblje od 2018. Do 2020</w:t>
      </w:r>
      <w:r w:rsidR="00041F1A">
        <w:t xml:space="preserve"> te </w:t>
      </w:r>
      <w:r>
        <w:t xml:space="preserve"> ovih Uputa.</w:t>
      </w:r>
    </w:p>
    <w:p w:rsidR="0026399E" w:rsidRDefault="0026399E" w:rsidP="00976090">
      <w:pPr>
        <w:pStyle w:val="Bezproreda"/>
        <w:jc w:val="both"/>
      </w:pPr>
      <w:r>
        <w:t xml:space="preserve">Proračunski </w:t>
      </w:r>
      <w:r w:rsidR="002F5762">
        <w:t>korisnici jedinica lokalne i područne (regionalne) samouprave svoje financijske planove dostavljaju jedinici čiji su korisnici.</w:t>
      </w:r>
    </w:p>
    <w:p w:rsidR="002F5762" w:rsidRDefault="002F5762" w:rsidP="00976090">
      <w:pPr>
        <w:pStyle w:val="Bezproreda"/>
        <w:jc w:val="both"/>
      </w:pPr>
      <w:r>
        <w:t>Prijedlog financijskog plana proračunskog korisnika jedinice lokalne i područne (regionalne) samouprave u skladu s odredbama Zakona o proračunu obuhvaća</w:t>
      </w:r>
      <w:r w:rsidR="00600F19">
        <w:t>:</w:t>
      </w:r>
    </w:p>
    <w:p w:rsidR="00600F19" w:rsidRDefault="00600F19" w:rsidP="00976090">
      <w:pPr>
        <w:pStyle w:val="Bezproreda"/>
        <w:numPr>
          <w:ilvl w:val="0"/>
          <w:numId w:val="2"/>
        </w:numPr>
        <w:jc w:val="both"/>
      </w:pPr>
      <w:r>
        <w:t>Procjenu prihoda i primitaka iskazanih po vrstama za razdoblje od 20</w:t>
      </w:r>
      <w:r w:rsidR="00041F1A">
        <w:t>2</w:t>
      </w:r>
      <w:r w:rsidR="0068355B">
        <w:t>2</w:t>
      </w:r>
      <w:r>
        <w:t>.-202</w:t>
      </w:r>
      <w:r w:rsidR="0068355B">
        <w:t>4</w:t>
      </w:r>
      <w:r>
        <w:t>.</w:t>
      </w:r>
    </w:p>
    <w:p w:rsidR="00600F19" w:rsidRDefault="00600F19" w:rsidP="00976090">
      <w:pPr>
        <w:pStyle w:val="Bezproreda"/>
        <w:numPr>
          <w:ilvl w:val="0"/>
          <w:numId w:val="2"/>
        </w:numPr>
        <w:jc w:val="both"/>
      </w:pPr>
      <w:r>
        <w:t>Plan rashoda i izdataka za razdoblje 20</w:t>
      </w:r>
      <w:r w:rsidR="00041F1A">
        <w:t>2</w:t>
      </w:r>
      <w:r w:rsidR="0068355B">
        <w:t>2</w:t>
      </w:r>
      <w:r>
        <w:t>.-202</w:t>
      </w:r>
      <w:r w:rsidR="0068355B">
        <w:t>4</w:t>
      </w:r>
      <w:r>
        <w:t>. Razvrstani po proračunskim klasifikacijama</w:t>
      </w:r>
    </w:p>
    <w:p w:rsidR="00600F19" w:rsidRDefault="00600F19" w:rsidP="00976090">
      <w:pPr>
        <w:pStyle w:val="Bezproreda"/>
        <w:numPr>
          <w:ilvl w:val="0"/>
          <w:numId w:val="2"/>
        </w:numPr>
        <w:jc w:val="both"/>
      </w:pPr>
      <w:r>
        <w:lastRenderedPageBreak/>
        <w:t>Obrazloženje financijskog plana</w:t>
      </w:r>
    </w:p>
    <w:p w:rsidR="00A01EBE" w:rsidRDefault="00A01EBE" w:rsidP="00A01EBE">
      <w:pPr>
        <w:pStyle w:val="Bezproreda"/>
        <w:jc w:val="both"/>
      </w:pPr>
    </w:p>
    <w:p w:rsidR="00A01EBE" w:rsidRDefault="00A01EBE" w:rsidP="00A01EBE">
      <w:pPr>
        <w:pStyle w:val="Bezproreda"/>
        <w:jc w:val="both"/>
      </w:pPr>
      <w:r>
        <w:t>Proračunski korisnici jedinica lokalne i područne (regionalne) samouprave prihode i primitke, rashode i izdatke za 202</w:t>
      </w:r>
      <w:r w:rsidR="0068355B">
        <w:t>2</w:t>
      </w:r>
      <w:r>
        <w:t>.g. planiraju na razini podskupine (treća razina računskog plana), a za 202</w:t>
      </w:r>
      <w:r w:rsidR="0068355B">
        <w:t>3</w:t>
      </w:r>
      <w:r>
        <w:t>. i 202</w:t>
      </w:r>
      <w:r w:rsidR="0068355B">
        <w:t>4</w:t>
      </w:r>
      <w:r w:rsidR="00B84F23">
        <w:t xml:space="preserve"> na razini skupine (druga razina računskog plana). </w:t>
      </w:r>
    </w:p>
    <w:p w:rsidR="00B84F23" w:rsidRDefault="00B84F23" w:rsidP="00A01EBE">
      <w:pPr>
        <w:pStyle w:val="Bezproreda"/>
        <w:jc w:val="both"/>
      </w:pPr>
      <w:r>
        <w:t>Uz  ekonomski i programsku klasifikaciju, proračunski korisnici jedinica lokalne i područne (regionalne) samouprave u izradi financijskog plana primjenjuju i klasifikaciju po izvorima financiranja.</w:t>
      </w:r>
    </w:p>
    <w:p w:rsidR="001D143A" w:rsidRDefault="00B84F23" w:rsidP="00976090">
      <w:pPr>
        <w:pStyle w:val="Bezproreda"/>
        <w:jc w:val="both"/>
      </w:pPr>
      <w:r>
        <w:t>Temeljem zahtjeva nadležne jedinice, proračunski korisnici mogu izrađivati svoj financijski plan na razini odjeljka (četvrta i peta razina računskog plana). Međutim, upravno vijeće ili drugo upravljačko tijelo obavezno je usvojiti financijskim plan korisnika na razini podskupine (treća razina računskog plana), a projekcije za 202</w:t>
      </w:r>
      <w:r w:rsidR="0068355B">
        <w:t>3</w:t>
      </w:r>
      <w:r>
        <w:t>. i 202</w:t>
      </w:r>
      <w:r w:rsidR="0068355B">
        <w:t>4</w:t>
      </w:r>
      <w:r>
        <w:t>.g. na razini skupine (druga razina računskog plana.</w:t>
      </w:r>
    </w:p>
    <w:p w:rsidR="00B84F23" w:rsidRDefault="00B84F23" w:rsidP="00976090">
      <w:pPr>
        <w:pStyle w:val="Bezproreda"/>
        <w:jc w:val="both"/>
      </w:pPr>
    </w:p>
    <w:p w:rsidR="001D143A" w:rsidRDefault="001D143A" w:rsidP="00976090">
      <w:pPr>
        <w:pStyle w:val="Bezproreda"/>
        <w:jc w:val="both"/>
        <w:rPr>
          <w:b/>
        </w:rPr>
      </w:pPr>
      <w:r w:rsidRPr="00341F00">
        <w:rPr>
          <w:b/>
        </w:rPr>
        <w:t>3.1. Planiranje viškova/manjkova iz prethodnih godina u financijskom planu proračunskog korisnika i izvanproračunskog korisnika</w:t>
      </w:r>
    </w:p>
    <w:p w:rsidR="00D950FA" w:rsidRDefault="00D950FA" w:rsidP="00976090">
      <w:pPr>
        <w:pStyle w:val="Bezproreda"/>
        <w:jc w:val="both"/>
        <w:rPr>
          <w:b/>
        </w:rPr>
      </w:pPr>
    </w:p>
    <w:p w:rsidR="00D66C45" w:rsidRDefault="00B84F23" w:rsidP="00976090">
      <w:pPr>
        <w:pStyle w:val="Bezproreda"/>
        <w:jc w:val="both"/>
      </w:pPr>
      <w:r>
        <w:t xml:space="preserve">Proračun/financijski plan mora uključivati osim plana prihoda i rashoda i plan pokrića manjka iz prethodnih godina kao i korištenje viška iz prethodnih godina. Kako si financijski planovi </w:t>
      </w:r>
      <w:r w:rsidR="00401635">
        <w:t>proračunskih korisnika sastavni dio proračuna Općine Posedarje proračunski korisnik je dužan u prijedlog financijskog plana uključiti i predviđeni višak i manjak.  Financijski plan koji uključuje isključivo plan prihoda i rashoda bez rezultata poslovanja ne pruža cjelovit financijski okvir za donošenje odluke o budućoj potrošnji i izvorima financiranja. Primjeri uključivanja viška/manjka iz prethodnih godina dani su u Uputama za i</w:t>
      </w:r>
      <w:r w:rsidR="00D66C45">
        <w:t>zradu</w:t>
      </w:r>
      <w:r w:rsidR="00401635">
        <w:t xml:space="preserve"> proračuna </w:t>
      </w:r>
      <w:r w:rsidR="00D66C45">
        <w:t>jedinice lokalne i područne (regionalne) samouprave za razdoblje od 2018-2021 .g. koje su objavljene na stranicama Ministarstva financija i to:</w:t>
      </w:r>
    </w:p>
    <w:p w:rsidR="00D66C45" w:rsidRDefault="00E438FD" w:rsidP="00976090">
      <w:pPr>
        <w:pStyle w:val="Bezproreda"/>
        <w:jc w:val="both"/>
      </w:pPr>
      <w:hyperlink r:id="rId9" w:history="1">
        <w:r w:rsidR="00D66C45" w:rsidRPr="00B10DF8">
          <w:rPr>
            <w:rStyle w:val="Hiperveza"/>
          </w:rPr>
          <w:t>http://mfin.hr/hr/lokalni-proracuni</w:t>
        </w:r>
      </w:hyperlink>
      <w:r w:rsidR="00D66C45">
        <w:t>.</w:t>
      </w:r>
    </w:p>
    <w:p w:rsidR="000F30C5" w:rsidRDefault="000F30C5" w:rsidP="00976090">
      <w:pPr>
        <w:pStyle w:val="Bezproreda"/>
        <w:jc w:val="both"/>
      </w:pPr>
    </w:p>
    <w:p w:rsidR="00D66C45" w:rsidRDefault="00D66C45" w:rsidP="00976090">
      <w:pPr>
        <w:pStyle w:val="Bezproreda"/>
        <w:jc w:val="both"/>
      </w:pPr>
    </w:p>
    <w:p w:rsidR="00D950FA" w:rsidRPr="00D950FA" w:rsidRDefault="00D950FA" w:rsidP="00976090">
      <w:pPr>
        <w:pStyle w:val="Bezproreda"/>
        <w:jc w:val="both"/>
        <w:rPr>
          <w:b/>
        </w:rPr>
      </w:pPr>
      <w:r w:rsidRPr="00D950FA">
        <w:rPr>
          <w:b/>
        </w:rPr>
        <w:t>3.2. Primjena ekonomske klasifikacije</w:t>
      </w:r>
    </w:p>
    <w:p w:rsidR="00D950FA" w:rsidRDefault="00D950FA" w:rsidP="00976090">
      <w:pPr>
        <w:pStyle w:val="Bezproreda"/>
        <w:jc w:val="both"/>
      </w:pPr>
    </w:p>
    <w:p w:rsidR="00D950FA" w:rsidRDefault="00D950FA" w:rsidP="00976090">
      <w:pPr>
        <w:pStyle w:val="Bezproreda"/>
        <w:jc w:val="both"/>
      </w:pPr>
      <w:r>
        <w:t>S obzirom na česte pogreške kod primjene ekonomske klasifikacije prilikom planiranja i računovodstvenog evidentiranja navode se sljedeći primjeri:</w:t>
      </w:r>
    </w:p>
    <w:p w:rsidR="00D950FA" w:rsidRDefault="00D950FA" w:rsidP="00976090">
      <w:pPr>
        <w:pStyle w:val="Bezproreda"/>
        <w:jc w:val="both"/>
      </w:pPr>
      <w:r>
        <w:t>Prihodi od zakupa poslovnog prostora planirani su u okviru skupine 64 Prihodi od imovine (641 Prihodi od financijske imovine i 641 Prihodi od nefinancijske imovine), umjesto u okviru podskupine 661 Prihodi od prodaje proizvoda i roba te pruženih usluga.</w:t>
      </w:r>
    </w:p>
    <w:p w:rsidR="00D950FA" w:rsidRDefault="00D950FA" w:rsidP="00976090">
      <w:pPr>
        <w:pStyle w:val="Bezproreda"/>
        <w:jc w:val="both"/>
      </w:pPr>
      <w:r>
        <w:t>Sredstva od Fonda za zaštitu okoliša i energetsku učinkovitost pogrešno su planirani u okviru podskupine 66</w:t>
      </w:r>
      <w:r w:rsidR="00AC4191">
        <w:t>3 Donacije od pravnih i fizičkih</w:t>
      </w:r>
      <w:r>
        <w:t xml:space="preserve"> osoba izvan općeg proračuna, a trebaju se planirati u okviru podskupine 634 Pomoći od izvanproračunskih korisnika.</w:t>
      </w:r>
      <w:r w:rsidR="002E3D40">
        <w:t xml:space="preserve"> Doprinosi i porezi uplaćeni za rad na temelju ugovora o djelu iskazani su u okviru podskupine računa 311 Plaće (Bruto) i 313 Doprinosi na plaće, treba u okviru podskupine računa 323 Rashodi za usluge, na osnovnom računu  32372 Ugovori o djelu. </w:t>
      </w:r>
    </w:p>
    <w:p w:rsidR="009A74D5" w:rsidRDefault="002E3D40" w:rsidP="00976090">
      <w:pPr>
        <w:pStyle w:val="Bezproreda"/>
        <w:jc w:val="both"/>
      </w:pPr>
      <w:r>
        <w:t>Rashodi za službeni put osoba izvan radnog odnosa a konji se odnose na korištenje osobnog automobila u službene svrhe i na troškove smještaja i avionske karte planirani su i okviru podskupine 321 Naknade troškova zaposlenima umjesto u okviru podskupine računa 324 Naknade troškova osobama izvan radnog odnosa.</w:t>
      </w:r>
    </w:p>
    <w:p w:rsidR="002E3D40" w:rsidRDefault="002E3D40" w:rsidP="00976090">
      <w:pPr>
        <w:pStyle w:val="Bezproreda"/>
        <w:jc w:val="both"/>
        <w:rPr>
          <w:b/>
        </w:rPr>
      </w:pPr>
    </w:p>
    <w:p w:rsidR="002E3D40" w:rsidRDefault="002E3D40" w:rsidP="00976090">
      <w:pPr>
        <w:pStyle w:val="Bezproreda"/>
        <w:jc w:val="both"/>
        <w:rPr>
          <w:b/>
        </w:rPr>
      </w:pPr>
    </w:p>
    <w:p w:rsidR="009A74D5" w:rsidRDefault="009A74D5" w:rsidP="00976090">
      <w:pPr>
        <w:pStyle w:val="Bezproreda"/>
        <w:jc w:val="both"/>
        <w:rPr>
          <w:b/>
        </w:rPr>
      </w:pPr>
      <w:r w:rsidRPr="009A74D5">
        <w:rPr>
          <w:b/>
        </w:rPr>
        <w:t>3.</w:t>
      </w:r>
      <w:r w:rsidR="00AC4191">
        <w:rPr>
          <w:b/>
        </w:rPr>
        <w:t>3</w:t>
      </w:r>
      <w:r w:rsidRPr="009A74D5">
        <w:rPr>
          <w:b/>
        </w:rPr>
        <w:t>. Visina financijskog plana proračunskog korisnika</w:t>
      </w:r>
    </w:p>
    <w:p w:rsidR="009A74D5" w:rsidRDefault="009A74D5" w:rsidP="00976090">
      <w:pPr>
        <w:pStyle w:val="Bezproreda"/>
        <w:jc w:val="both"/>
        <w:rPr>
          <w:b/>
        </w:rPr>
      </w:pPr>
    </w:p>
    <w:p w:rsidR="009A74D5" w:rsidRDefault="009A74D5" w:rsidP="00976090">
      <w:pPr>
        <w:pStyle w:val="Bezproreda"/>
        <w:jc w:val="both"/>
      </w:pPr>
      <w:r>
        <w:t>Sukladno članku 27. Stavku 3., točci 4. Zakona o proračunu visina financijskog plana proračunskog korisnika sadrži visinu financijskog plana za prethodnu proračunsku godinu i tekuću proračunsku godinu te prijedlog visine financijskog plana ta slijedeću proračunsku godinu i za slijedeće dvije godine raspoređene na:</w:t>
      </w:r>
    </w:p>
    <w:p w:rsidR="009A74D5" w:rsidRDefault="009A74D5" w:rsidP="00976090">
      <w:pPr>
        <w:pStyle w:val="Bezproreda"/>
        <w:jc w:val="both"/>
      </w:pPr>
      <w:r>
        <w:lastRenderedPageBreak/>
        <w:t>a) visinu sredstava potrebnih za provedbu postojećih programa, odnosno aktivnosti koje proizlaze iz trenutno važećih propisa i</w:t>
      </w:r>
    </w:p>
    <w:p w:rsidR="009A74D5" w:rsidRDefault="009A74D5" w:rsidP="00976090">
      <w:pPr>
        <w:pStyle w:val="Bezproreda"/>
        <w:jc w:val="both"/>
      </w:pPr>
      <w:r>
        <w:t>b) visinu sredstava potrebnih za uvođenje i provedbu ili promjenu postojećih programa odnosno aktivnosti.</w:t>
      </w:r>
    </w:p>
    <w:p w:rsidR="00441210" w:rsidRDefault="00441210" w:rsidP="00976090">
      <w:pPr>
        <w:pStyle w:val="Bezproreda"/>
        <w:jc w:val="both"/>
      </w:pPr>
    </w:p>
    <w:p w:rsidR="00441210" w:rsidRDefault="00441210" w:rsidP="00976090">
      <w:pPr>
        <w:pStyle w:val="Bezproreda"/>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81"/>
        <w:gridCol w:w="1108"/>
        <w:gridCol w:w="1142"/>
        <w:gridCol w:w="815"/>
        <w:gridCol w:w="1141"/>
        <w:gridCol w:w="1367"/>
        <w:gridCol w:w="901"/>
        <w:gridCol w:w="1134"/>
      </w:tblGrid>
      <w:tr w:rsidR="0038274C" w:rsidTr="0038274C">
        <w:trPr>
          <w:trHeight w:val="480"/>
        </w:trPr>
        <w:tc>
          <w:tcPr>
            <w:tcW w:w="1134" w:type="dxa"/>
            <w:tcBorders>
              <w:top w:val="single" w:sz="4" w:space="0" w:color="auto"/>
              <w:left w:val="single" w:sz="4" w:space="0" w:color="auto"/>
              <w:bottom w:val="nil"/>
              <w:right w:val="single" w:sz="4" w:space="0" w:color="auto"/>
            </w:tcBorders>
            <w:shd w:val="clear" w:color="auto" w:fill="auto"/>
          </w:tcPr>
          <w:p w:rsidR="00AD3E80" w:rsidRDefault="00AD3E80" w:rsidP="00AD3E80">
            <w:pPr>
              <w:pStyle w:val="Bezproreda"/>
              <w:jc w:val="both"/>
            </w:pPr>
            <w:r>
              <w:t>KORISNIK</w:t>
            </w:r>
          </w:p>
        </w:tc>
        <w:tc>
          <w:tcPr>
            <w:tcW w:w="1181" w:type="dxa"/>
            <w:tcBorders>
              <w:top w:val="single" w:sz="4" w:space="0" w:color="auto"/>
              <w:left w:val="single" w:sz="4" w:space="0" w:color="auto"/>
              <w:bottom w:val="nil"/>
              <w:right w:val="single" w:sz="4" w:space="0" w:color="auto"/>
            </w:tcBorders>
            <w:shd w:val="clear" w:color="auto" w:fill="auto"/>
          </w:tcPr>
          <w:p w:rsidR="00AD3E80" w:rsidRDefault="00AD3E80" w:rsidP="00AD3E80">
            <w:pPr>
              <w:pStyle w:val="Bezproreda"/>
              <w:jc w:val="both"/>
            </w:pPr>
            <w:r>
              <w:t>20</w:t>
            </w:r>
            <w:r w:rsidR="008A275F">
              <w:t>20</w:t>
            </w:r>
          </w:p>
          <w:p w:rsidR="00AD3E80" w:rsidRDefault="00AD3E80" w:rsidP="00AD3E80">
            <w:pPr>
              <w:pStyle w:val="Bezproreda"/>
              <w:jc w:val="both"/>
            </w:pPr>
            <w:r>
              <w:t>GODINA</w:t>
            </w:r>
          </w:p>
        </w:tc>
        <w:tc>
          <w:tcPr>
            <w:tcW w:w="1108" w:type="dxa"/>
            <w:tcBorders>
              <w:left w:val="single" w:sz="4" w:space="0" w:color="auto"/>
              <w:bottom w:val="nil"/>
            </w:tcBorders>
            <w:shd w:val="clear" w:color="auto" w:fill="auto"/>
          </w:tcPr>
          <w:p w:rsidR="00AD3E80" w:rsidRDefault="00AD3E80" w:rsidP="00AD3E80">
            <w:pPr>
              <w:pStyle w:val="Bezproreda"/>
              <w:jc w:val="both"/>
            </w:pPr>
            <w:r>
              <w:t>202</w:t>
            </w:r>
            <w:r w:rsidR="008A275F">
              <w:t>1</w:t>
            </w:r>
          </w:p>
          <w:p w:rsidR="00AD3E80" w:rsidRDefault="00AD3E80" w:rsidP="00AD3E80">
            <w:pPr>
              <w:pStyle w:val="Bezproreda"/>
              <w:jc w:val="both"/>
            </w:pPr>
            <w:r>
              <w:t>GODINA</w:t>
            </w:r>
          </w:p>
          <w:p w:rsidR="00AD3E80" w:rsidRDefault="00AD3E80" w:rsidP="00AD3E80">
            <w:pPr>
              <w:pStyle w:val="Bezproreda"/>
              <w:jc w:val="both"/>
            </w:pPr>
          </w:p>
        </w:tc>
        <w:tc>
          <w:tcPr>
            <w:tcW w:w="3098" w:type="dxa"/>
            <w:gridSpan w:val="3"/>
          </w:tcPr>
          <w:p w:rsidR="00AD3E80" w:rsidRDefault="00AD3E80" w:rsidP="0038274C">
            <w:pPr>
              <w:pStyle w:val="Bezproreda"/>
              <w:jc w:val="both"/>
            </w:pPr>
            <w:r>
              <w:t>2021 GODINA</w:t>
            </w:r>
          </w:p>
        </w:tc>
        <w:tc>
          <w:tcPr>
            <w:tcW w:w="3402" w:type="dxa"/>
            <w:gridSpan w:val="3"/>
          </w:tcPr>
          <w:p w:rsidR="00AD3E80" w:rsidRDefault="00AD3E80" w:rsidP="00AD3E80">
            <w:pPr>
              <w:pStyle w:val="Bezproreda"/>
              <w:jc w:val="both"/>
            </w:pPr>
            <w:r>
              <w:t>2022 I 2023 GODINA</w:t>
            </w:r>
          </w:p>
        </w:tc>
      </w:tr>
      <w:tr w:rsidR="0038274C" w:rsidTr="008A275F">
        <w:trPr>
          <w:trHeight w:val="390"/>
        </w:trPr>
        <w:tc>
          <w:tcPr>
            <w:tcW w:w="1134" w:type="dxa"/>
            <w:tcBorders>
              <w:top w:val="nil"/>
              <w:left w:val="single" w:sz="4" w:space="0" w:color="auto"/>
              <w:bottom w:val="single" w:sz="4" w:space="0" w:color="auto"/>
              <w:right w:val="single" w:sz="4" w:space="0" w:color="auto"/>
            </w:tcBorders>
            <w:shd w:val="clear" w:color="auto" w:fill="auto"/>
          </w:tcPr>
          <w:p w:rsidR="00441210" w:rsidRDefault="00441210" w:rsidP="00AD3E80">
            <w:pPr>
              <w:pStyle w:val="Bezproreda"/>
              <w:jc w:val="both"/>
            </w:pPr>
          </w:p>
        </w:tc>
        <w:tc>
          <w:tcPr>
            <w:tcW w:w="1181" w:type="dxa"/>
            <w:tcBorders>
              <w:top w:val="nil"/>
              <w:left w:val="single" w:sz="4" w:space="0" w:color="auto"/>
              <w:bottom w:val="single" w:sz="4" w:space="0" w:color="auto"/>
              <w:right w:val="single" w:sz="4" w:space="0" w:color="auto"/>
            </w:tcBorders>
          </w:tcPr>
          <w:p w:rsidR="00441210" w:rsidRDefault="00441210" w:rsidP="00AD3E80">
            <w:pPr>
              <w:pStyle w:val="Bezproreda"/>
              <w:jc w:val="both"/>
            </w:pPr>
          </w:p>
        </w:tc>
        <w:tc>
          <w:tcPr>
            <w:tcW w:w="1108" w:type="dxa"/>
            <w:tcBorders>
              <w:top w:val="nil"/>
              <w:left w:val="single" w:sz="4" w:space="0" w:color="auto"/>
              <w:bottom w:val="single" w:sz="4" w:space="0" w:color="auto"/>
              <w:right w:val="single" w:sz="4" w:space="0" w:color="auto"/>
            </w:tcBorders>
          </w:tcPr>
          <w:p w:rsidR="00441210" w:rsidRDefault="00441210" w:rsidP="00AD3E80">
            <w:pPr>
              <w:pStyle w:val="Bezproreda"/>
              <w:jc w:val="both"/>
            </w:pPr>
          </w:p>
        </w:tc>
        <w:tc>
          <w:tcPr>
            <w:tcW w:w="1142" w:type="dxa"/>
            <w:tcBorders>
              <w:left w:val="single" w:sz="4" w:space="0" w:color="auto"/>
            </w:tcBorders>
          </w:tcPr>
          <w:p w:rsidR="00441210" w:rsidRDefault="00441210" w:rsidP="00AD3E80">
            <w:pPr>
              <w:pStyle w:val="Bezproreda"/>
              <w:jc w:val="both"/>
            </w:pPr>
            <w:r>
              <w:t>LIMIT A</w:t>
            </w:r>
          </w:p>
        </w:tc>
        <w:tc>
          <w:tcPr>
            <w:tcW w:w="815" w:type="dxa"/>
          </w:tcPr>
          <w:p w:rsidR="00441210" w:rsidRDefault="00441210" w:rsidP="008A275F">
            <w:pPr>
              <w:pStyle w:val="Bezproreda"/>
              <w:jc w:val="both"/>
            </w:pPr>
            <w:r>
              <w:t xml:space="preserve">LIMIT </w:t>
            </w:r>
            <w:r w:rsidR="008A275F">
              <w:t>B</w:t>
            </w:r>
          </w:p>
        </w:tc>
        <w:tc>
          <w:tcPr>
            <w:tcW w:w="1141" w:type="dxa"/>
          </w:tcPr>
          <w:p w:rsidR="00441210" w:rsidRDefault="00441210" w:rsidP="00AD3E80">
            <w:pPr>
              <w:pStyle w:val="Bezproreda"/>
              <w:jc w:val="both"/>
            </w:pPr>
            <w:r>
              <w:t>PLAN</w:t>
            </w:r>
          </w:p>
        </w:tc>
        <w:tc>
          <w:tcPr>
            <w:tcW w:w="1367" w:type="dxa"/>
          </w:tcPr>
          <w:p w:rsidR="00441210" w:rsidRDefault="00441210" w:rsidP="00AD3E80">
            <w:pPr>
              <w:pStyle w:val="Bezproreda"/>
              <w:jc w:val="both"/>
            </w:pPr>
            <w:r>
              <w:t>LIMIT A</w:t>
            </w:r>
          </w:p>
        </w:tc>
        <w:tc>
          <w:tcPr>
            <w:tcW w:w="901" w:type="dxa"/>
          </w:tcPr>
          <w:p w:rsidR="00441210" w:rsidRDefault="00441210" w:rsidP="00AD3E80">
            <w:pPr>
              <w:pStyle w:val="Bezproreda"/>
              <w:jc w:val="both"/>
            </w:pPr>
            <w:r>
              <w:t>LIMIT B</w:t>
            </w:r>
          </w:p>
        </w:tc>
        <w:tc>
          <w:tcPr>
            <w:tcW w:w="1134" w:type="dxa"/>
            <w:shd w:val="clear" w:color="auto" w:fill="auto"/>
          </w:tcPr>
          <w:p w:rsidR="00441210" w:rsidRDefault="00441210" w:rsidP="00AD3E80">
            <w:r>
              <w:t>PLAN</w:t>
            </w:r>
          </w:p>
        </w:tc>
      </w:tr>
      <w:tr w:rsidR="0038274C" w:rsidTr="008A275F">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AD3E80" w:rsidRPr="0038274C" w:rsidRDefault="00AD3E80" w:rsidP="00AD3E80">
            <w:pPr>
              <w:pStyle w:val="Bezproreda"/>
              <w:jc w:val="both"/>
              <w:rPr>
                <w:sz w:val="20"/>
                <w:szCs w:val="20"/>
              </w:rPr>
            </w:pPr>
            <w:r w:rsidRPr="0038274C">
              <w:rPr>
                <w:sz w:val="20"/>
                <w:szCs w:val="20"/>
              </w:rPr>
              <w:t xml:space="preserve">DV </w:t>
            </w:r>
            <w:r w:rsidR="0038274C" w:rsidRPr="0038274C">
              <w:rPr>
                <w:sz w:val="20"/>
                <w:szCs w:val="20"/>
              </w:rPr>
              <w:t>Cvrčak</w:t>
            </w:r>
          </w:p>
          <w:p w:rsidR="00AD3E80" w:rsidRDefault="00AD3E80" w:rsidP="00AD3E80">
            <w:pPr>
              <w:pStyle w:val="Bezproreda"/>
              <w:jc w:val="both"/>
            </w:pPr>
          </w:p>
        </w:tc>
        <w:tc>
          <w:tcPr>
            <w:tcW w:w="1181" w:type="dxa"/>
            <w:tcBorders>
              <w:top w:val="single" w:sz="4" w:space="0" w:color="auto"/>
              <w:left w:val="single" w:sz="4" w:space="0" w:color="auto"/>
              <w:bottom w:val="single" w:sz="4" w:space="0" w:color="auto"/>
              <w:right w:val="single" w:sz="4" w:space="0" w:color="auto"/>
            </w:tcBorders>
          </w:tcPr>
          <w:p w:rsidR="00AD3E80" w:rsidRDefault="008A275F" w:rsidP="00AD3E80">
            <w:pPr>
              <w:pStyle w:val="Bezproreda"/>
              <w:jc w:val="both"/>
            </w:pPr>
            <w:r>
              <w:t>1.827.600</w:t>
            </w:r>
          </w:p>
        </w:tc>
        <w:tc>
          <w:tcPr>
            <w:tcW w:w="1108" w:type="dxa"/>
            <w:tcBorders>
              <w:top w:val="single" w:sz="4" w:space="0" w:color="auto"/>
              <w:left w:val="single" w:sz="4" w:space="0" w:color="auto"/>
              <w:bottom w:val="single" w:sz="4" w:space="0" w:color="auto"/>
              <w:right w:val="single" w:sz="4" w:space="0" w:color="auto"/>
            </w:tcBorders>
          </w:tcPr>
          <w:p w:rsidR="00AD3E80" w:rsidRDefault="008A275F" w:rsidP="00AD3E80">
            <w:pPr>
              <w:pStyle w:val="Bezproreda"/>
              <w:jc w:val="both"/>
            </w:pPr>
            <w:r>
              <w:t>1.920.000</w:t>
            </w:r>
          </w:p>
        </w:tc>
        <w:tc>
          <w:tcPr>
            <w:tcW w:w="1142" w:type="dxa"/>
            <w:tcBorders>
              <w:left w:val="single" w:sz="4" w:space="0" w:color="auto"/>
            </w:tcBorders>
          </w:tcPr>
          <w:p w:rsidR="00AD3E80" w:rsidRDefault="008A275F" w:rsidP="00AD3E80">
            <w:pPr>
              <w:pStyle w:val="Bezproreda"/>
              <w:jc w:val="both"/>
            </w:pPr>
            <w:r>
              <w:t>2.000.000</w:t>
            </w:r>
          </w:p>
        </w:tc>
        <w:tc>
          <w:tcPr>
            <w:tcW w:w="815" w:type="dxa"/>
          </w:tcPr>
          <w:p w:rsidR="00AD3E80" w:rsidRDefault="0038274C" w:rsidP="00AD3E80">
            <w:pPr>
              <w:pStyle w:val="Bezproreda"/>
              <w:jc w:val="both"/>
            </w:pPr>
            <w:r>
              <w:t>-</w:t>
            </w:r>
          </w:p>
        </w:tc>
        <w:tc>
          <w:tcPr>
            <w:tcW w:w="1141" w:type="dxa"/>
          </w:tcPr>
          <w:p w:rsidR="00AD3E80" w:rsidRDefault="008A275F" w:rsidP="00AD3E80">
            <w:pPr>
              <w:pStyle w:val="Bezproreda"/>
              <w:jc w:val="both"/>
            </w:pPr>
            <w:r>
              <w:t>2.000.000</w:t>
            </w:r>
          </w:p>
        </w:tc>
        <w:tc>
          <w:tcPr>
            <w:tcW w:w="1367" w:type="dxa"/>
          </w:tcPr>
          <w:p w:rsidR="00AD3E80" w:rsidRDefault="008A275F" w:rsidP="00AD3E80">
            <w:pPr>
              <w:pStyle w:val="Bezproreda"/>
              <w:jc w:val="both"/>
            </w:pPr>
            <w:r>
              <w:t>2.100.000</w:t>
            </w:r>
          </w:p>
        </w:tc>
        <w:tc>
          <w:tcPr>
            <w:tcW w:w="901" w:type="dxa"/>
          </w:tcPr>
          <w:p w:rsidR="00AD3E80" w:rsidRDefault="0038274C" w:rsidP="00AD3E80">
            <w:pPr>
              <w:pStyle w:val="Bezproreda"/>
              <w:jc w:val="both"/>
            </w:pPr>
            <w:r>
              <w:t>-</w:t>
            </w:r>
          </w:p>
        </w:tc>
        <w:tc>
          <w:tcPr>
            <w:tcW w:w="1134" w:type="dxa"/>
            <w:shd w:val="clear" w:color="auto" w:fill="auto"/>
          </w:tcPr>
          <w:p w:rsidR="00AD3E80" w:rsidRDefault="008A275F" w:rsidP="00AD3E80">
            <w:r>
              <w:t>2.100.000</w:t>
            </w:r>
          </w:p>
        </w:tc>
      </w:tr>
    </w:tbl>
    <w:p w:rsidR="009A74D5" w:rsidRDefault="009A74D5" w:rsidP="00976090">
      <w:pPr>
        <w:pStyle w:val="Bezproreda"/>
        <w:jc w:val="both"/>
      </w:pPr>
    </w:p>
    <w:p w:rsidR="009A74D5" w:rsidRDefault="009A74D5" w:rsidP="00976090">
      <w:pPr>
        <w:pStyle w:val="Bezproreda"/>
        <w:jc w:val="both"/>
      </w:pPr>
    </w:p>
    <w:p w:rsidR="00441210" w:rsidRDefault="00441210" w:rsidP="00976090">
      <w:pPr>
        <w:pStyle w:val="Bezproreda"/>
        <w:jc w:val="both"/>
        <w:rPr>
          <w:b/>
        </w:rPr>
      </w:pPr>
    </w:p>
    <w:p w:rsidR="0057138B" w:rsidRPr="008B72E9" w:rsidRDefault="00A72071" w:rsidP="00976090">
      <w:pPr>
        <w:pStyle w:val="Bezproreda"/>
        <w:jc w:val="both"/>
        <w:rPr>
          <w:b/>
        </w:rPr>
      </w:pPr>
      <w:r>
        <w:rPr>
          <w:b/>
        </w:rPr>
        <w:t>4.</w:t>
      </w:r>
      <w:r w:rsidR="00976090">
        <w:rPr>
          <w:b/>
        </w:rPr>
        <w:t xml:space="preserve"> TERMINSKI PLAN ZA IZRADU PRORAČUNA I PRIJEDLOGA FINANCIJSKOG PLANA PRORAČUNSKOG KORISNIKA OPĆINE POSEDARJE</w:t>
      </w:r>
    </w:p>
    <w:p w:rsidR="00281E1B" w:rsidRDefault="00281E1B" w:rsidP="00976090">
      <w:pPr>
        <w:pStyle w:val="Bezproreda"/>
        <w:jc w:val="both"/>
      </w:pPr>
    </w:p>
    <w:p w:rsidR="0038274C" w:rsidRDefault="0038274C" w:rsidP="00976090">
      <w:pPr>
        <w:pStyle w:val="Bezproreda"/>
        <w:jc w:val="both"/>
      </w:pPr>
      <w:r>
        <w:t>Proračunski korisnici Općine Posedarje dužni su dostaviti prijedloge svojih financijskih planova Jedinstvenom upravnom odjelu do 10.listopada 202</w:t>
      </w:r>
      <w:r w:rsidR="008A275F">
        <w:t>1</w:t>
      </w:r>
      <w:r>
        <w:t>. g</w:t>
      </w:r>
      <w:bookmarkStart w:id="0" w:name="_GoBack"/>
      <w:bookmarkEnd w:id="0"/>
      <w:r>
        <w:t xml:space="preserve">. Financijski planovi moraju biti izrađeni sukladno propisanoj metodologiji i financijskim okvirima zadanim ovim Uputama. </w:t>
      </w:r>
    </w:p>
    <w:p w:rsidR="00B35577" w:rsidRDefault="00B35577" w:rsidP="00976090">
      <w:pPr>
        <w:pStyle w:val="Bezproreda"/>
        <w:jc w:val="both"/>
      </w:pPr>
      <w:r>
        <w:t>Jedinstveni upravni odjel razmatra prijedloge i usklađuje financijske planove s procijenjenim prihodima te izrađuje nacrt prijedloga Proračuna Općine Posedarje za 202</w:t>
      </w:r>
      <w:r w:rsidR="008A275F">
        <w:t>2</w:t>
      </w:r>
      <w:r>
        <w:t>.g., projekcije za 202</w:t>
      </w:r>
      <w:r w:rsidR="008A275F">
        <w:t>3</w:t>
      </w:r>
      <w:r>
        <w:t>. i 202</w:t>
      </w:r>
      <w:r w:rsidR="008A275F">
        <w:t>4</w:t>
      </w:r>
      <w:r>
        <w:t>. godinu, kao i plan razvojnih programa i dostavlja ih načelniku Općine Posedarje do 15.listopada 202</w:t>
      </w:r>
      <w:r w:rsidR="008A275F">
        <w:t>2</w:t>
      </w:r>
      <w:r>
        <w:t>.g.</w:t>
      </w:r>
    </w:p>
    <w:p w:rsidR="00B35577" w:rsidRDefault="00B35577" w:rsidP="00976090">
      <w:pPr>
        <w:pStyle w:val="Bezproreda"/>
        <w:jc w:val="both"/>
      </w:pPr>
      <w:r>
        <w:t>Načelnik Općine utvrđuje prijedlog Plana proračuna Općine Posedarje za 202</w:t>
      </w:r>
      <w:r w:rsidR="008A275F">
        <w:t>2</w:t>
      </w:r>
      <w:r>
        <w:t>.g. s projekcijama za 202</w:t>
      </w:r>
      <w:r w:rsidR="008A275F">
        <w:t>3</w:t>
      </w:r>
      <w:r>
        <w:t xml:space="preserve"> i 202</w:t>
      </w:r>
      <w:r w:rsidR="008A275F">
        <w:t>4</w:t>
      </w:r>
      <w:r>
        <w:t>.g. te ih podnosi Općinskom vijeću na donošenje do 15.studenog 202</w:t>
      </w:r>
      <w:r w:rsidR="008A275F">
        <w:t>1</w:t>
      </w:r>
      <w:r>
        <w:t>.g.</w:t>
      </w:r>
    </w:p>
    <w:p w:rsidR="00B35577" w:rsidRDefault="00B35577" w:rsidP="00976090">
      <w:pPr>
        <w:pStyle w:val="Bezproreda"/>
        <w:jc w:val="both"/>
      </w:pPr>
      <w:r>
        <w:t>Sukladno članku 39. zakona o proračunu, predstavničko tijelo donosi Proračun Općine Posedarje za 202</w:t>
      </w:r>
      <w:r w:rsidR="008A275F">
        <w:t>2</w:t>
      </w:r>
      <w:r>
        <w:t>.g. s projekcijama za 202</w:t>
      </w:r>
      <w:r w:rsidR="008A275F">
        <w:t>3</w:t>
      </w:r>
      <w:r>
        <w:t>. i 202</w:t>
      </w:r>
      <w:r w:rsidR="008A275F">
        <w:t>4</w:t>
      </w:r>
      <w:r>
        <w:t>.g. najkasnije do 31.prosinca 202</w:t>
      </w:r>
      <w:r w:rsidR="008A275F">
        <w:t>1</w:t>
      </w:r>
      <w:r>
        <w:t>.g.</w:t>
      </w:r>
    </w:p>
    <w:p w:rsidR="00A72071" w:rsidRDefault="00A72071" w:rsidP="00976090">
      <w:pPr>
        <w:pStyle w:val="Bezproreda"/>
        <w:jc w:val="both"/>
      </w:pPr>
    </w:p>
    <w:p w:rsidR="00A72071" w:rsidRDefault="00A72071" w:rsidP="00976090">
      <w:pPr>
        <w:pStyle w:val="Bezproreda"/>
        <w:jc w:val="both"/>
      </w:pPr>
    </w:p>
    <w:p w:rsidR="00A72071" w:rsidRDefault="00A72071" w:rsidP="00976090">
      <w:pPr>
        <w:pStyle w:val="Bezproreda"/>
        <w:jc w:val="both"/>
        <w:rPr>
          <w:b/>
        </w:rPr>
      </w:pPr>
      <w:r w:rsidRPr="00A72071">
        <w:rPr>
          <w:b/>
        </w:rPr>
        <w:t>5. D</w:t>
      </w:r>
      <w:r w:rsidR="00B35577">
        <w:rPr>
          <w:b/>
        </w:rPr>
        <w:t>O</w:t>
      </w:r>
      <w:r w:rsidRPr="00A72071">
        <w:rPr>
          <w:b/>
        </w:rPr>
        <w:t>STUPNOST MATERIJALA</w:t>
      </w:r>
    </w:p>
    <w:p w:rsidR="00A72071" w:rsidRDefault="00A72071" w:rsidP="00976090">
      <w:pPr>
        <w:pStyle w:val="Bezproreda"/>
        <w:jc w:val="both"/>
        <w:rPr>
          <w:b/>
        </w:rPr>
      </w:pPr>
    </w:p>
    <w:p w:rsidR="00A72071" w:rsidRDefault="00A72071" w:rsidP="00976090">
      <w:pPr>
        <w:pStyle w:val="Bezproreda"/>
        <w:jc w:val="both"/>
      </w:pPr>
      <w:r w:rsidRPr="00A72071">
        <w:t>Na Internet stranici Općine Posedarje</w:t>
      </w:r>
      <w:r>
        <w:t xml:space="preserve"> </w:t>
      </w:r>
      <w:hyperlink r:id="rId10" w:history="1">
        <w:r w:rsidRPr="009B2B7B">
          <w:rPr>
            <w:rStyle w:val="Hiperveza"/>
          </w:rPr>
          <w:t>www.opcina-posedarje.hr</w:t>
        </w:r>
      </w:hyperlink>
      <w:r>
        <w:t xml:space="preserve">  nalaze se ove Upute za izradu prijedloga proračuna i financijskog plana proračunskog korisnika Općine Posedarje za razdoblje od 20</w:t>
      </w:r>
      <w:r w:rsidR="00B35577">
        <w:t>2</w:t>
      </w:r>
      <w:r w:rsidR="008A275F">
        <w:t>2</w:t>
      </w:r>
      <w:r>
        <w:t>. do 202</w:t>
      </w:r>
      <w:r w:rsidR="008A275F">
        <w:t>4</w:t>
      </w:r>
      <w:r>
        <w:t>.g.</w:t>
      </w:r>
    </w:p>
    <w:p w:rsidR="00A72071" w:rsidRDefault="00A72071" w:rsidP="00976090">
      <w:pPr>
        <w:pStyle w:val="Bezproreda"/>
        <w:jc w:val="both"/>
      </w:pPr>
    </w:p>
    <w:p w:rsidR="00A72071" w:rsidRDefault="00A72071" w:rsidP="00976090">
      <w:pPr>
        <w:pStyle w:val="Bezproreda"/>
        <w:jc w:val="both"/>
      </w:pPr>
      <w:r>
        <w:t xml:space="preserve">Na Internet stranici Ministarstva financija </w:t>
      </w:r>
      <w:hyperlink r:id="rId11" w:history="1">
        <w:r w:rsidR="00434827" w:rsidRPr="009B2B7B">
          <w:rPr>
            <w:rStyle w:val="Hiperveza"/>
          </w:rPr>
          <w:t>www.mfin.hr</w:t>
        </w:r>
      </w:hyperlink>
      <w:r w:rsidR="00434827">
        <w:t xml:space="preserve"> ((Proračun/Lokalni proračun) nalaze se Upute za izradu proračuna jedinice lokalne i područne (regionalne) samouprave za razdoblje od 20</w:t>
      </w:r>
      <w:r w:rsidR="00B35577">
        <w:t>2</w:t>
      </w:r>
      <w:r w:rsidR="008A275F">
        <w:t>2</w:t>
      </w:r>
      <w:r w:rsidR="00434827">
        <w:t>. – 202</w:t>
      </w:r>
      <w:r w:rsidR="008A275F">
        <w:t>4</w:t>
      </w:r>
      <w:r w:rsidR="00434827">
        <w:t xml:space="preserve">. </w:t>
      </w:r>
      <w:r w:rsidR="002E3D40">
        <w:t>g</w:t>
      </w:r>
      <w:r w:rsidR="00434827">
        <w:t>odine, model prijedloga financijskog plana (naslovna strana) i model prijedloga financijskog plana proračunskog korisnika.</w:t>
      </w:r>
    </w:p>
    <w:p w:rsidR="00434827" w:rsidRDefault="00434827" w:rsidP="00976090">
      <w:pPr>
        <w:pStyle w:val="Bezproreda"/>
        <w:jc w:val="both"/>
      </w:pPr>
    </w:p>
    <w:p w:rsidR="00434827" w:rsidRDefault="00434827" w:rsidP="00976090">
      <w:pPr>
        <w:pStyle w:val="Bezproreda"/>
        <w:jc w:val="both"/>
      </w:pPr>
    </w:p>
    <w:p w:rsidR="00434827" w:rsidRDefault="00434827" w:rsidP="00976090">
      <w:pPr>
        <w:pStyle w:val="Bezproreda"/>
        <w:jc w:val="both"/>
      </w:pPr>
    </w:p>
    <w:p w:rsidR="00434827" w:rsidRPr="00434827" w:rsidRDefault="00434827" w:rsidP="00976090">
      <w:pPr>
        <w:pStyle w:val="Bezproreda"/>
        <w:jc w:val="both"/>
        <w:rPr>
          <w:b/>
        </w:rPr>
      </w:pPr>
      <w:r w:rsidRPr="00434827">
        <w:rPr>
          <w:b/>
        </w:rPr>
        <w:t>KLASA: 400-0</w:t>
      </w:r>
      <w:r w:rsidR="008A275F">
        <w:rPr>
          <w:b/>
        </w:rPr>
        <w:t>6</w:t>
      </w:r>
      <w:r w:rsidRPr="00434827">
        <w:rPr>
          <w:b/>
        </w:rPr>
        <w:t>/</w:t>
      </w:r>
      <w:r w:rsidR="00887A00">
        <w:rPr>
          <w:b/>
        </w:rPr>
        <w:t>2</w:t>
      </w:r>
      <w:r w:rsidR="008A275F">
        <w:rPr>
          <w:b/>
        </w:rPr>
        <w:t>1</w:t>
      </w:r>
      <w:r w:rsidR="00887A00">
        <w:rPr>
          <w:b/>
        </w:rPr>
        <w:t>-01/0</w:t>
      </w:r>
      <w:r w:rsidR="008A275F">
        <w:rPr>
          <w:b/>
        </w:rPr>
        <w:t>3</w:t>
      </w:r>
    </w:p>
    <w:p w:rsidR="00434827" w:rsidRPr="00434827" w:rsidRDefault="00434827" w:rsidP="00976090">
      <w:pPr>
        <w:pStyle w:val="Bezproreda"/>
        <w:jc w:val="both"/>
        <w:rPr>
          <w:b/>
        </w:rPr>
      </w:pPr>
      <w:r w:rsidRPr="00434827">
        <w:rPr>
          <w:b/>
        </w:rPr>
        <w:t>URBROJ:2198/07</w:t>
      </w:r>
      <w:r w:rsidR="008A275F">
        <w:rPr>
          <w:b/>
        </w:rPr>
        <w:t>—1/3-21-02</w:t>
      </w:r>
    </w:p>
    <w:p w:rsidR="00434827" w:rsidRPr="00434827" w:rsidRDefault="00434827" w:rsidP="00976090">
      <w:pPr>
        <w:pStyle w:val="Bezproreda"/>
        <w:jc w:val="both"/>
        <w:rPr>
          <w:b/>
        </w:rPr>
      </w:pPr>
    </w:p>
    <w:p w:rsidR="00434827" w:rsidRPr="00434827" w:rsidRDefault="00434827" w:rsidP="00976090">
      <w:pPr>
        <w:pStyle w:val="Bezproreda"/>
        <w:jc w:val="both"/>
        <w:rPr>
          <w:b/>
        </w:rPr>
      </w:pPr>
      <w:r w:rsidRPr="00434827">
        <w:rPr>
          <w:b/>
        </w:rPr>
        <w:t>Posed</w:t>
      </w:r>
      <w:r w:rsidR="00E30CE8">
        <w:rPr>
          <w:b/>
        </w:rPr>
        <w:t>a</w:t>
      </w:r>
      <w:r w:rsidRPr="00434827">
        <w:rPr>
          <w:b/>
        </w:rPr>
        <w:t xml:space="preserve">rje, </w:t>
      </w:r>
      <w:r w:rsidR="008A275F">
        <w:rPr>
          <w:b/>
        </w:rPr>
        <w:t>21.09.2021.</w:t>
      </w:r>
      <w:r w:rsidR="00887A00">
        <w:rPr>
          <w:b/>
        </w:rPr>
        <w:t>godine</w:t>
      </w:r>
    </w:p>
    <w:p w:rsidR="00A72071" w:rsidRDefault="00A72071" w:rsidP="00976090">
      <w:pPr>
        <w:pStyle w:val="Bezproreda"/>
        <w:jc w:val="both"/>
      </w:pPr>
    </w:p>
    <w:p w:rsidR="00A72071" w:rsidRDefault="00A72071" w:rsidP="00976090">
      <w:pPr>
        <w:pStyle w:val="Bezproreda"/>
        <w:jc w:val="both"/>
      </w:pPr>
    </w:p>
    <w:p w:rsidR="00A72071" w:rsidRDefault="00A72071" w:rsidP="00976090">
      <w:pPr>
        <w:pStyle w:val="Bezproreda"/>
        <w:jc w:val="both"/>
      </w:pPr>
    </w:p>
    <w:sectPr w:rsidR="00A72071" w:rsidSect="00EB4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4762FB"/>
    <w:multiLevelType w:val="hybridMultilevel"/>
    <w:tmpl w:val="6A303954"/>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9B1C92"/>
    <w:multiLevelType w:val="hybridMultilevel"/>
    <w:tmpl w:val="8E7A6596"/>
    <w:lvl w:ilvl="0" w:tplc="1AAA51C2">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32232048"/>
    <w:multiLevelType w:val="hybridMultilevel"/>
    <w:tmpl w:val="718461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A77A21"/>
    <w:multiLevelType w:val="multilevel"/>
    <w:tmpl w:val="0D2A76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74365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BCE4089"/>
    <w:multiLevelType w:val="hybridMultilevel"/>
    <w:tmpl w:val="F16C6CFA"/>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5D0F2C"/>
    <w:multiLevelType w:val="hybridMultilevel"/>
    <w:tmpl w:val="1930CCAE"/>
    <w:lvl w:ilvl="0" w:tplc="1AAA51C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7421C9"/>
    <w:multiLevelType w:val="hybridMultilevel"/>
    <w:tmpl w:val="8C844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CA2D47"/>
    <w:multiLevelType w:val="multilevel"/>
    <w:tmpl w:val="7C86BC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7E52AD"/>
    <w:multiLevelType w:val="hybridMultilevel"/>
    <w:tmpl w:val="80E41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CB8032B"/>
    <w:multiLevelType w:val="multilevel"/>
    <w:tmpl w:val="5414FB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4E3CF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9"/>
  </w:num>
  <w:num w:numId="3">
    <w:abstractNumId w:val="5"/>
  </w:num>
  <w:num w:numId="4">
    <w:abstractNumId w:val="0"/>
  </w:num>
  <w:num w:numId="5">
    <w:abstractNumId w:val="1"/>
  </w:num>
  <w:num w:numId="6">
    <w:abstractNumId w:val="2"/>
  </w:num>
  <w:num w:numId="7">
    <w:abstractNumId w:val="14"/>
  </w:num>
  <w:num w:numId="8">
    <w:abstractNumId w:val="4"/>
  </w:num>
  <w:num w:numId="9">
    <w:abstractNumId w:val="7"/>
  </w:num>
  <w:num w:numId="10">
    <w:abstractNumId w:val="3"/>
  </w:num>
  <w:num w:numId="11">
    <w:abstractNumId w:val="13"/>
  </w:num>
  <w:num w:numId="12">
    <w:abstractNumId w:val="6"/>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34"/>
    <w:rsid w:val="00041F1A"/>
    <w:rsid w:val="00052FF2"/>
    <w:rsid w:val="00090E2F"/>
    <w:rsid w:val="000B3A11"/>
    <w:rsid w:val="000C5EA8"/>
    <w:rsid w:val="000F30C5"/>
    <w:rsid w:val="00144DA3"/>
    <w:rsid w:val="001A0833"/>
    <w:rsid w:val="001A750C"/>
    <w:rsid w:val="001D143A"/>
    <w:rsid w:val="001D2355"/>
    <w:rsid w:val="00252DAE"/>
    <w:rsid w:val="00257F3F"/>
    <w:rsid w:val="0026399E"/>
    <w:rsid w:val="00281E1B"/>
    <w:rsid w:val="0028462F"/>
    <w:rsid w:val="00290627"/>
    <w:rsid w:val="002C2FE7"/>
    <w:rsid w:val="002E3D40"/>
    <w:rsid w:val="002E6F95"/>
    <w:rsid w:val="002F5762"/>
    <w:rsid w:val="002F61B0"/>
    <w:rsid w:val="00341F00"/>
    <w:rsid w:val="00362956"/>
    <w:rsid w:val="003718D3"/>
    <w:rsid w:val="00373E35"/>
    <w:rsid w:val="0038274C"/>
    <w:rsid w:val="003A347E"/>
    <w:rsid w:val="003B1C20"/>
    <w:rsid w:val="003C463F"/>
    <w:rsid w:val="00401635"/>
    <w:rsid w:val="0041070C"/>
    <w:rsid w:val="00413DCA"/>
    <w:rsid w:val="00434827"/>
    <w:rsid w:val="00441210"/>
    <w:rsid w:val="00456D44"/>
    <w:rsid w:val="00511E6C"/>
    <w:rsid w:val="00513370"/>
    <w:rsid w:val="00545F51"/>
    <w:rsid w:val="0054753A"/>
    <w:rsid w:val="0057138B"/>
    <w:rsid w:val="005C5502"/>
    <w:rsid w:val="005C7C81"/>
    <w:rsid w:val="005D1F09"/>
    <w:rsid w:val="005E5BF8"/>
    <w:rsid w:val="00600F19"/>
    <w:rsid w:val="006011C7"/>
    <w:rsid w:val="00607DDB"/>
    <w:rsid w:val="00682A51"/>
    <w:rsid w:val="0068355B"/>
    <w:rsid w:val="006B014A"/>
    <w:rsid w:val="006F3A5B"/>
    <w:rsid w:val="007078ED"/>
    <w:rsid w:val="00753D39"/>
    <w:rsid w:val="00754D29"/>
    <w:rsid w:val="00791323"/>
    <w:rsid w:val="007959C1"/>
    <w:rsid w:val="007D341D"/>
    <w:rsid w:val="008374EC"/>
    <w:rsid w:val="00882CD7"/>
    <w:rsid w:val="00887A00"/>
    <w:rsid w:val="008A275F"/>
    <w:rsid w:val="008B72E9"/>
    <w:rsid w:val="00950A95"/>
    <w:rsid w:val="0096693A"/>
    <w:rsid w:val="00976090"/>
    <w:rsid w:val="009A722E"/>
    <w:rsid w:val="009A74D5"/>
    <w:rsid w:val="009E0C76"/>
    <w:rsid w:val="009F7BED"/>
    <w:rsid w:val="00A01EBE"/>
    <w:rsid w:val="00A137C5"/>
    <w:rsid w:val="00A72071"/>
    <w:rsid w:val="00A81147"/>
    <w:rsid w:val="00A91395"/>
    <w:rsid w:val="00A96980"/>
    <w:rsid w:val="00AB00B8"/>
    <w:rsid w:val="00AB11B0"/>
    <w:rsid w:val="00AC4191"/>
    <w:rsid w:val="00AD3E80"/>
    <w:rsid w:val="00B20848"/>
    <w:rsid w:val="00B20AAC"/>
    <w:rsid w:val="00B3393F"/>
    <w:rsid w:val="00B35577"/>
    <w:rsid w:val="00B571AD"/>
    <w:rsid w:val="00B708A1"/>
    <w:rsid w:val="00B84F23"/>
    <w:rsid w:val="00BF6FEF"/>
    <w:rsid w:val="00C069E5"/>
    <w:rsid w:val="00C169D3"/>
    <w:rsid w:val="00C21389"/>
    <w:rsid w:val="00C313A8"/>
    <w:rsid w:val="00C418A0"/>
    <w:rsid w:val="00CA5158"/>
    <w:rsid w:val="00D04937"/>
    <w:rsid w:val="00D66C45"/>
    <w:rsid w:val="00D950FA"/>
    <w:rsid w:val="00E06789"/>
    <w:rsid w:val="00E30CE8"/>
    <w:rsid w:val="00E40B38"/>
    <w:rsid w:val="00E438FD"/>
    <w:rsid w:val="00E52785"/>
    <w:rsid w:val="00E776DC"/>
    <w:rsid w:val="00EB47B1"/>
    <w:rsid w:val="00F0703A"/>
    <w:rsid w:val="00F30134"/>
    <w:rsid w:val="00F329DD"/>
    <w:rsid w:val="00F72D6F"/>
    <w:rsid w:val="00F90077"/>
    <w:rsid w:val="00FA54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DF7E"/>
  <w15:docId w15:val="{3636A85C-2166-4EEF-A79E-1D5B768E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B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30134"/>
    <w:pPr>
      <w:spacing w:after="0" w:line="240" w:lineRule="auto"/>
    </w:pPr>
  </w:style>
  <w:style w:type="character" w:styleId="Hiperveza">
    <w:name w:val="Hyperlink"/>
    <w:rsid w:val="00C313A8"/>
    <w:rPr>
      <w:color w:val="000080"/>
      <w:u w:val="single"/>
    </w:rPr>
  </w:style>
  <w:style w:type="paragraph" w:styleId="Odlomakpopisa">
    <w:name w:val="List Paragraph"/>
    <w:basedOn w:val="Normal"/>
    <w:uiPriority w:val="34"/>
    <w:qFormat/>
    <w:rsid w:val="00C313A8"/>
    <w:pPr>
      <w:spacing w:after="0" w:line="240" w:lineRule="auto"/>
      <w:ind w:left="720"/>
      <w:contextualSpacing/>
      <w:jc w:val="right"/>
    </w:pPr>
    <w:rPr>
      <w:rFonts w:eastAsiaTheme="minorHAnsi"/>
      <w:lang w:eastAsia="en-US"/>
    </w:rPr>
  </w:style>
  <w:style w:type="table" w:styleId="Reetkatablice">
    <w:name w:val="Table Grid"/>
    <w:basedOn w:val="Obinatablica"/>
    <w:uiPriority w:val="59"/>
    <w:rsid w:val="009A74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kalni.proracuni@mfi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evizija.hr/hr/kontak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kalni.proracuni@mfin.hr" TargetMode="External"/><Relationship Id="rId11" Type="http://schemas.openxmlformats.org/officeDocument/2006/relationships/hyperlink" Target="http://www.mfin.hr" TargetMode="External"/><Relationship Id="rId5" Type="http://schemas.openxmlformats.org/officeDocument/2006/relationships/webSettings" Target="webSettings.xml"/><Relationship Id="rId10" Type="http://schemas.openxmlformats.org/officeDocument/2006/relationships/hyperlink" Target="http://www.opcina-posedarje.hr" TargetMode="External"/><Relationship Id="rId4" Type="http://schemas.openxmlformats.org/officeDocument/2006/relationships/settings" Target="settings.xml"/><Relationship Id="rId9" Type="http://schemas.openxmlformats.org/officeDocument/2006/relationships/hyperlink" Target="http://mfin.hr/hr/lokalni-proracun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1102-BB01-4A8A-93A4-C9BC2F3D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4755</Words>
  <Characters>27108</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cp:revision>
  <dcterms:created xsi:type="dcterms:W3CDTF">2021-09-21T08:28:00Z</dcterms:created>
  <dcterms:modified xsi:type="dcterms:W3CDTF">2021-09-21T12:38:00Z</dcterms:modified>
</cp:coreProperties>
</file>